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91C67" w14:textId="77777777" w:rsidR="00B457AD" w:rsidRDefault="00DF7AB4">
      <w:pPr>
        <w:pStyle w:val="Header"/>
        <w:tabs>
          <w:tab w:val="clear" w:pos="4536"/>
        </w:tabs>
        <w:snapToGrid w:val="0"/>
        <w:rPr>
          <w:rFonts w:eastAsia="宋体"/>
          <w:sz w:val="22"/>
          <w:szCs w:val="22"/>
          <w:lang w:eastAsia="zh-CN"/>
        </w:rPr>
      </w:pPr>
      <w:r>
        <w:rPr>
          <w:sz w:val="22"/>
          <w:szCs w:val="22"/>
        </w:rPr>
        <w:t>3GPP TSG RAN WG1 Meeting #94</w:t>
      </w:r>
      <w:r>
        <w:rPr>
          <w:rFonts w:eastAsia="宋体" w:hint="eastAsia"/>
          <w:sz w:val="22"/>
          <w:szCs w:val="22"/>
          <w:lang w:eastAsia="zh-CN"/>
        </w:rPr>
        <w:t>bis</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R1-1</w:t>
      </w:r>
      <w:r>
        <w:rPr>
          <w:rFonts w:eastAsia="宋体" w:hint="eastAsia"/>
          <w:sz w:val="22"/>
          <w:szCs w:val="22"/>
          <w:lang w:eastAsia="zh-CN"/>
        </w:rPr>
        <w:t>81</w:t>
      </w:r>
      <w:r>
        <w:rPr>
          <w:rFonts w:eastAsia="宋体"/>
          <w:sz w:val="22"/>
          <w:szCs w:val="22"/>
          <w:lang w:eastAsia="zh-CN"/>
        </w:rPr>
        <w:t>0219</w:t>
      </w:r>
    </w:p>
    <w:p w14:paraId="00B38D63" w14:textId="77777777" w:rsidR="00B457AD" w:rsidRDefault="00DF7AB4">
      <w:pPr>
        <w:snapToGrid w:val="0"/>
        <w:spacing w:line="240" w:lineRule="auto"/>
        <w:rPr>
          <w:rFonts w:ascii="Arial" w:eastAsia="MS Mincho" w:hAnsi="Arial"/>
          <w:b/>
          <w:lang w:eastAsia="en-US"/>
        </w:rPr>
      </w:pPr>
      <w:r>
        <w:rPr>
          <w:rFonts w:ascii="Arial" w:hAnsi="Arial" w:hint="eastAsia"/>
          <w:b/>
        </w:rPr>
        <w:t>Chengdu</w:t>
      </w:r>
      <w:r>
        <w:rPr>
          <w:rFonts w:ascii="Arial" w:hAnsi="Arial" w:hint="eastAsia"/>
          <w:b/>
          <w:lang w:eastAsia="ja-JP"/>
        </w:rPr>
        <w:t xml:space="preserve">, </w:t>
      </w:r>
      <w:r>
        <w:rPr>
          <w:rFonts w:ascii="Arial" w:hAnsi="Arial" w:hint="eastAsia"/>
          <w:b/>
        </w:rPr>
        <w:t>China</w:t>
      </w:r>
      <w:r>
        <w:rPr>
          <w:rFonts w:ascii="Arial" w:hAnsi="Arial" w:hint="eastAsia"/>
          <w:b/>
          <w:lang w:eastAsia="ja-JP"/>
        </w:rPr>
        <w:t>,</w:t>
      </w:r>
      <w:r>
        <w:rPr>
          <w:rFonts w:ascii="Arial" w:eastAsia="MS Mincho" w:hAnsi="Arial" w:hint="eastAsia"/>
          <w:b/>
          <w:lang w:eastAsia="ja-JP"/>
        </w:rPr>
        <w:t xml:space="preserve"> </w:t>
      </w:r>
      <w:r>
        <w:rPr>
          <w:rFonts w:ascii="Arial" w:hAnsi="Arial" w:hint="eastAsia"/>
          <w:b/>
        </w:rPr>
        <w:t>October</w:t>
      </w:r>
      <w:r>
        <w:rPr>
          <w:rFonts w:ascii="Arial" w:hAnsi="Arial" w:hint="eastAsia"/>
          <w:b/>
          <w:lang w:eastAsia="ja-JP"/>
        </w:rPr>
        <w:t xml:space="preserve"> </w:t>
      </w:r>
      <w:r>
        <w:rPr>
          <w:rFonts w:ascii="Arial" w:hAnsi="Arial" w:hint="eastAsia"/>
          <w:b/>
        </w:rPr>
        <w:t>8</w:t>
      </w:r>
      <w:r>
        <w:rPr>
          <w:rFonts w:ascii="Arial" w:hAnsi="Arial"/>
          <w:b/>
          <w:vertAlign w:val="superscript"/>
          <w:lang w:eastAsia="ja-JP"/>
        </w:rPr>
        <w:t>th</w:t>
      </w:r>
      <w:r>
        <w:rPr>
          <w:rFonts w:ascii="Arial" w:hAnsi="Arial" w:cs="Arial"/>
          <w:b/>
          <w:lang w:eastAsia="ja-JP"/>
        </w:rPr>
        <w:t xml:space="preserve"> –</w:t>
      </w:r>
      <w:r>
        <w:rPr>
          <w:rFonts w:ascii="Arial" w:hAnsi="Arial" w:hint="eastAsia"/>
          <w:b/>
        </w:rPr>
        <w:t xml:space="preserve"> 12</w:t>
      </w:r>
      <w:r>
        <w:rPr>
          <w:rFonts w:ascii="Arial" w:hAnsi="Arial"/>
          <w:b/>
          <w:vertAlign w:val="superscript"/>
          <w:lang w:eastAsia="ja-JP"/>
        </w:rPr>
        <w:t>th</w:t>
      </w:r>
      <w:r>
        <w:rPr>
          <w:rFonts w:ascii="Arial" w:hAnsi="Arial" w:hint="eastAsia"/>
          <w:b/>
          <w:lang w:eastAsia="ja-JP"/>
        </w:rPr>
        <w:t>, 2018</w:t>
      </w:r>
    </w:p>
    <w:p w14:paraId="0343CD02" w14:textId="77777777" w:rsidR="00B457AD" w:rsidRDefault="00DF7AB4">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5B1C887D" w14:textId="77777777" w:rsidR="00B457AD" w:rsidRDefault="00DF7AB4">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 xml:space="preserve">Type II CSI </w:t>
      </w:r>
      <w:r>
        <w:rPr>
          <w:rFonts w:eastAsia="宋体" w:hint="eastAsia"/>
          <w:sz w:val="22"/>
          <w:szCs w:val="22"/>
          <w:lang w:eastAsia="zh-CN"/>
        </w:rPr>
        <w:t>e</w:t>
      </w:r>
      <w:r>
        <w:rPr>
          <w:sz w:val="22"/>
          <w:szCs w:val="22"/>
        </w:rPr>
        <w:t>nhancements for MU-MIMO</w:t>
      </w:r>
    </w:p>
    <w:p w14:paraId="70AD02AD" w14:textId="77777777" w:rsidR="00B457AD" w:rsidRDefault="00DF7AB4">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Pr>
          <w:rFonts w:eastAsia="宋体" w:hint="eastAsia"/>
          <w:sz w:val="22"/>
          <w:szCs w:val="22"/>
          <w:lang w:eastAsia="zh-CN"/>
        </w:rPr>
        <w:t>8</w:t>
      </w:r>
      <w:r>
        <w:rPr>
          <w:rFonts w:eastAsia="宋体"/>
          <w:sz w:val="22"/>
          <w:szCs w:val="22"/>
          <w:lang w:eastAsia="zh-CN"/>
        </w:rPr>
        <w:t>.</w:t>
      </w:r>
      <w:r>
        <w:rPr>
          <w:rFonts w:eastAsia="宋体" w:hint="eastAsia"/>
          <w:sz w:val="22"/>
          <w:szCs w:val="22"/>
          <w:lang w:eastAsia="zh-CN"/>
        </w:rPr>
        <w:t>1</w:t>
      </w:r>
    </w:p>
    <w:p w14:paraId="384CA195" w14:textId="77777777" w:rsidR="00B457AD" w:rsidRDefault="00DF7AB4">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6EDF98FC" w14:textId="77777777" w:rsidR="00B457AD" w:rsidRDefault="00B457AD">
      <w:pPr>
        <w:pStyle w:val="Header"/>
        <w:tabs>
          <w:tab w:val="clear" w:pos="4536"/>
        </w:tabs>
        <w:snapToGrid w:val="0"/>
        <w:rPr>
          <w:rFonts w:eastAsia="宋体"/>
          <w:szCs w:val="20"/>
          <w:lang w:eastAsia="zh-CN"/>
        </w:rPr>
      </w:pPr>
    </w:p>
    <w:p w14:paraId="12FCDCCF" w14:textId="77777777" w:rsidR="00B457AD" w:rsidRDefault="00B457AD">
      <w:pPr>
        <w:pBdr>
          <w:bottom w:val="single" w:sz="4" w:space="1" w:color="auto"/>
        </w:pBdr>
        <w:tabs>
          <w:tab w:val="left" w:pos="2552"/>
        </w:tabs>
        <w:snapToGrid w:val="0"/>
        <w:spacing w:line="240" w:lineRule="auto"/>
        <w:rPr>
          <w:sz w:val="4"/>
          <w:szCs w:val="4"/>
        </w:rPr>
      </w:pPr>
    </w:p>
    <w:p w14:paraId="09AF9BFD" w14:textId="77777777" w:rsidR="00B457AD" w:rsidRDefault="00DF7AB4">
      <w:pPr>
        <w:pStyle w:val="Heading1"/>
        <w:tabs>
          <w:tab w:val="clear" w:pos="432"/>
        </w:tabs>
        <w:snapToGrid w:val="0"/>
        <w:spacing w:beforeLines="50" w:before="120" w:afterLines="50" w:after="120"/>
        <w:ind w:left="431" w:hanging="431"/>
        <w:rPr>
          <w:sz w:val="28"/>
          <w:lang w:val="en-US"/>
        </w:rPr>
      </w:pPr>
      <w:r>
        <w:rPr>
          <w:sz w:val="28"/>
          <w:lang w:val="en-US"/>
        </w:rPr>
        <w:t>Introduction</w:t>
      </w:r>
    </w:p>
    <w:p w14:paraId="30FFE186" w14:textId="7777777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 xml:space="preserve">#80 meeting, </w:t>
      </w:r>
      <w:r>
        <w:rPr>
          <w:rFonts w:eastAsia="微软雅黑"/>
          <w:sz w:val="20"/>
          <w:szCs w:val="20"/>
        </w:rPr>
        <w:t>the WID of NR MIMO enhancement was approved in [1]. In the detailed scope of NR MIMO enhancement, the following points propose MU-MIMO enhancements relevant to Type II CSI feedback.</w:t>
      </w:r>
    </w:p>
    <w:p w14:paraId="637B9663" w14:textId="77777777" w:rsidR="00B457AD" w:rsidRDefault="00DF7AB4">
      <w:pPr>
        <w:numPr>
          <w:ilvl w:val="0"/>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Enhancements on MU-MIMO support:</w:t>
      </w:r>
    </w:p>
    <w:p w14:paraId="17454376" w14:textId="77777777" w:rsidR="00B457AD" w:rsidRDefault="00DF7AB4">
      <w:pPr>
        <w:numPr>
          <w:ilvl w:val="2"/>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Specify overhead reduction, based on Type II CSI feedback</w:t>
      </w:r>
      <w:r>
        <w:rPr>
          <w:rFonts w:eastAsia="微软雅黑" w:hint="eastAsia"/>
          <w:sz w:val="20"/>
          <w:szCs w:val="20"/>
          <w:lang w:val="en-GB"/>
        </w:rPr>
        <w:t xml:space="preserve">, </w:t>
      </w:r>
      <w:proofErr w:type="gramStart"/>
      <w:r>
        <w:rPr>
          <w:rFonts w:eastAsia="微软雅黑" w:hint="eastAsia"/>
          <w:sz w:val="20"/>
          <w:szCs w:val="20"/>
          <w:lang w:val="en-GB"/>
        </w:rPr>
        <w:t>taking into account</w:t>
      </w:r>
      <w:proofErr w:type="gramEnd"/>
      <w:r>
        <w:rPr>
          <w:rFonts w:eastAsia="微软雅黑" w:hint="eastAsia"/>
          <w:sz w:val="20"/>
          <w:szCs w:val="20"/>
          <w:lang w:val="en-GB"/>
        </w:rPr>
        <w:t xml:space="preserve"> the </w:t>
      </w:r>
      <w:proofErr w:type="spellStart"/>
      <w:r>
        <w:rPr>
          <w:rFonts w:eastAsia="微软雅黑" w:hint="eastAsia"/>
          <w:sz w:val="20"/>
          <w:szCs w:val="20"/>
          <w:lang w:val="en-GB"/>
        </w:rPr>
        <w:t>tradeoff</w:t>
      </w:r>
      <w:proofErr w:type="spellEnd"/>
      <w:r>
        <w:rPr>
          <w:rFonts w:eastAsia="微软雅黑" w:hint="eastAsia"/>
          <w:sz w:val="20"/>
          <w:szCs w:val="20"/>
          <w:lang w:val="en-GB"/>
        </w:rPr>
        <w:t xml:space="preserve"> between performance and overhead </w:t>
      </w:r>
    </w:p>
    <w:p w14:paraId="5739C422" w14:textId="77777777" w:rsidR="00B457AD" w:rsidRDefault="00DF7AB4">
      <w:pPr>
        <w:numPr>
          <w:ilvl w:val="2"/>
          <w:numId w:val="5"/>
        </w:num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 xml:space="preserve">Perform study </w:t>
      </w:r>
      <w:r>
        <w:rPr>
          <w:rFonts w:eastAsia="微软雅黑"/>
          <w:sz w:val="20"/>
          <w:szCs w:val="20"/>
          <w:lang w:val="en-GB"/>
        </w:rPr>
        <w:t xml:space="preserve">and, if needed, specify extension of Type II CSI feedback to rank &gt;2 </w:t>
      </w:r>
      <w:r>
        <w:rPr>
          <w:rFonts w:eastAsia="微软雅黑" w:hint="eastAsia"/>
          <w:sz w:val="20"/>
          <w:szCs w:val="20"/>
          <w:lang w:val="en-GB"/>
        </w:rPr>
        <w:t xml:space="preserve"> </w:t>
      </w:r>
    </w:p>
    <w:p w14:paraId="5E262404" w14:textId="77777777" w:rsidR="00B457AD" w:rsidRDefault="00DF7AB4">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this contribution, we give our views on the Type II CSI enhancements in the above MU-MIMO scope.</w:t>
      </w:r>
    </w:p>
    <w:p w14:paraId="78409B38" w14:textId="77777777" w:rsidR="00B457AD" w:rsidRDefault="00DF7AB4">
      <w:pPr>
        <w:pStyle w:val="Heading1"/>
        <w:tabs>
          <w:tab w:val="clear" w:pos="432"/>
        </w:tabs>
        <w:snapToGrid w:val="0"/>
        <w:spacing w:beforeLines="50" w:before="120" w:afterLines="50" w:after="120"/>
        <w:ind w:left="431" w:hanging="431"/>
        <w:rPr>
          <w:sz w:val="28"/>
          <w:lang w:val="en-US"/>
        </w:rPr>
      </w:pPr>
      <w:r>
        <w:rPr>
          <w:rFonts w:hint="eastAsia"/>
          <w:sz w:val="28"/>
          <w:lang w:val="en-US"/>
        </w:rPr>
        <w:t>T</w:t>
      </w:r>
      <w:r>
        <w:rPr>
          <w:sz w:val="28"/>
          <w:lang w:val="en-US"/>
        </w:rPr>
        <w:t>ype II overhead reduction</w:t>
      </w:r>
    </w:p>
    <w:p w14:paraId="618FB784" w14:textId="77777777" w:rsidR="00B457AD" w:rsidRDefault="00DF7AB4">
      <w:pPr>
        <w:snapToGrid w:val="0"/>
        <w:spacing w:before="120" w:afterLines="50" w:after="120" w:line="240" w:lineRule="auto"/>
        <w:jc w:val="both"/>
        <w:rPr>
          <w:rFonts w:eastAsia="微软雅黑"/>
          <w:b/>
        </w:rPr>
      </w:pPr>
      <w:r>
        <w:rPr>
          <w:rFonts w:eastAsia="微软雅黑"/>
          <w:b/>
        </w:rPr>
        <w:t xml:space="preserve">2.1 </w:t>
      </w:r>
      <w:r>
        <w:rPr>
          <w:rFonts w:eastAsia="微软雅黑" w:hint="eastAsia"/>
          <w:b/>
        </w:rPr>
        <w:t>Type II overhead reduction in Rel-15</w:t>
      </w:r>
    </w:p>
    <w:p w14:paraId="61802CAD"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 xml:space="preserve">In NR Rel-15, CSI feedback framework is </w:t>
      </w:r>
      <w:r>
        <w:rPr>
          <w:rFonts w:eastAsia="微软雅黑"/>
          <w:sz w:val="20"/>
          <w:szCs w:val="20"/>
        </w:rPr>
        <w:t xml:space="preserve">flexible to support various deployment and implementation requirements. Based on the CSI framework, Type II CSI overhead can be controlled flexibly. </w:t>
      </w:r>
    </w:p>
    <w:p w14:paraId="0D3ECE01" w14:textId="7777777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 xml:space="preserve">One approach to achieve semi-static Type II overhead reduction is through CSI reporting band configuration. In NR Rel-15, a BWP is divided into numerous sub-bands based on the sub-band size determined by a configuration parameter and BWP size. CSI reporting band is defined as a selection of the sub-bands in the BWP. The selection of sub-bands is realized by a bitmap, which can be contiguous or non-contiguous. Hence the number and location of sub-bands, as well as the sub-band CSI overhead, can be controlled by CSI report band configuration. To be more specific, beam information in Type II is wide-band reported, and phase/amplitude is sub-band reported. The major overhead of Type II report is the sub-band phase and amplitude overhead. With a proper CSI reporting band configuration, the overhead of Type II sub-band report can be reduced along with the number of selected sub-bands. For example, if CSI reporting band is configured as in Fig. 1, where the even sub-bands are selected based on a bitmap {1010101010}, half of the Type II sub-band overhead can be reduced compared with including the entire BWP in the CSI reporting band. Upon receiving the Type II report, </w:t>
      </w:r>
      <w:proofErr w:type="spellStart"/>
      <w:r>
        <w:rPr>
          <w:rFonts w:eastAsia="微软雅黑"/>
          <w:sz w:val="20"/>
          <w:szCs w:val="20"/>
        </w:rPr>
        <w:t>gNB</w:t>
      </w:r>
      <w:proofErr w:type="spellEnd"/>
      <w:r>
        <w:rPr>
          <w:rFonts w:eastAsia="微软雅黑"/>
          <w:sz w:val="20"/>
          <w:szCs w:val="20"/>
        </w:rPr>
        <w:t xml:space="preserve"> can derive the amplitude/phase of the non-reported sub-bands via interpolation.</w:t>
      </w:r>
    </w:p>
    <w:p w14:paraId="3D71B815" w14:textId="77777777" w:rsidR="00B457AD" w:rsidRDefault="00DF7AB4">
      <w:pPr>
        <w:snapToGrid w:val="0"/>
        <w:spacing w:before="120" w:afterLines="50" w:after="120" w:line="240" w:lineRule="auto"/>
        <w:jc w:val="center"/>
        <w:rPr>
          <w:rFonts w:eastAsia="微软雅黑"/>
          <w:sz w:val="20"/>
          <w:szCs w:val="20"/>
        </w:rPr>
      </w:pPr>
      <w:r>
        <w:object w:dxaOrig="2320" w:dyaOrig="3230" w14:anchorId="0E071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65pt;height:161.35pt" o:ole="">
            <v:imagedata r:id="rId8" o:title=""/>
          </v:shape>
          <o:OLEObject Type="Embed" ProgID="Visio.Drawing.11" ShapeID="_x0000_i1025" DrawAspect="Content" ObjectID="_1599737589" r:id="rId9"/>
        </w:object>
      </w:r>
    </w:p>
    <w:p w14:paraId="4EAFCE8D" w14:textId="77777777" w:rsidR="00B457AD" w:rsidRDefault="00DF7AB4">
      <w:pPr>
        <w:snapToGrid w:val="0"/>
        <w:spacing w:before="120" w:afterLines="50" w:after="120" w:line="240" w:lineRule="auto"/>
        <w:jc w:val="center"/>
        <w:rPr>
          <w:rFonts w:eastAsia="微软雅黑"/>
          <w:iCs/>
          <w:sz w:val="20"/>
          <w:szCs w:val="20"/>
        </w:rPr>
      </w:pPr>
      <w:r>
        <w:rPr>
          <w:rFonts w:eastAsia="微软雅黑" w:hint="eastAsia"/>
          <w:iCs/>
          <w:sz w:val="20"/>
          <w:szCs w:val="20"/>
        </w:rPr>
        <w:t xml:space="preserve">Fig.1 </w:t>
      </w:r>
      <w:r>
        <w:rPr>
          <w:rFonts w:eastAsia="微软雅黑"/>
          <w:iCs/>
          <w:sz w:val="20"/>
          <w:szCs w:val="20"/>
        </w:rPr>
        <w:t>CSI reporting band configuration</w:t>
      </w:r>
    </w:p>
    <w:p w14:paraId="4993D7A8" w14:textId="77777777" w:rsidR="00B457AD" w:rsidRDefault="00DF7AB4">
      <w:pPr>
        <w:snapToGrid w:val="0"/>
        <w:spacing w:before="120" w:afterLines="50" w:after="120" w:line="240" w:lineRule="auto"/>
        <w:jc w:val="both"/>
        <w:rPr>
          <w:rFonts w:eastAsia="微软雅黑"/>
          <w:i/>
          <w:sz w:val="20"/>
          <w:szCs w:val="20"/>
        </w:rPr>
      </w:pPr>
      <w:r>
        <w:rPr>
          <w:rFonts w:eastAsia="微软雅黑" w:hint="eastAsia"/>
          <w:b/>
          <w:i/>
          <w:sz w:val="20"/>
          <w:szCs w:val="20"/>
        </w:rPr>
        <w:lastRenderedPageBreak/>
        <w:t>Observation 1:</w:t>
      </w:r>
      <w:r>
        <w:rPr>
          <w:rFonts w:eastAsia="微软雅黑" w:hint="eastAsia"/>
          <w:i/>
          <w:sz w:val="20"/>
          <w:szCs w:val="20"/>
        </w:rPr>
        <w:t xml:space="preserve"> </w:t>
      </w:r>
      <w:r>
        <w:rPr>
          <w:rFonts w:eastAsia="微软雅黑"/>
          <w:i/>
          <w:sz w:val="20"/>
          <w:szCs w:val="20"/>
        </w:rPr>
        <w:t>NR Rel-15 CSI reporting band configuration can achieve semi-static overhead reduction for Type II feedback.</w:t>
      </w:r>
    </w:p>
    <w:p w14:paraId="47C5191A" w14:textId="7777777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Another approach to achieve dynamic Type II overhead reduction is through partial CSI omission. UE can omit the sub-band payload based on a comb pattern as in Fig.1 if the allocated PUSCH resource is not sufficient to transmit the entire Type II CSI with a specific code rate. If the allocated PUSCH cannot carry the full CSI, UE would omit the sub-band Part 2 CSI, which include the sub-band phase and amplitude for Type II, in odd sub-bands. The total sub-band overhead of Type II depends on RI a lot, which changes dynamically with the channel variation. gNB does not know the exact payload before decoding RI. With this mechanism, gNB can perform PUSCH resource allocation more flexibly, and CSI overhead can be reduced dynamically. Upon receiving the Type II report, gNB can derive the amplitude/phase of the non-reported sub-bands via interpolation.</w:t>
      </w:r>
    </w:p>
    <w:p w14:paraId="6F60E8D0" w14:textId="77777777" w:rsidR="00B457AD" w:rsidRDefault="00DF7AB4">
      <w:pPr>
        <w:snapToGrid w:val="0"/>
        <w:spacing w:before="120" w:afterLines="50" w:after="120" w:line="240" w:lineRule="auto"/>
        <w:jc w:val="both"/>
        <w:rPr>
          <w:rFonts w:eastAsia="微软雅黑"/>
          <w:i/>
          <w:sz w:val="20"/>
          <w:szCs w:val="20"/>
        </w:rPr>
      </w:pPr>
      <w:r>
        <w:rPr>
          <w:rFonts w:eastAsia="微软雅黑" w:hint="eastAsia"/>
          <w:b/>
          <w:i/>
          <w:sz w:val="20"/>
          <w:szCs w:val="20"/>
        </w:rPr>
        <w:t xml:space="preserve">Observation </w:t>
      </w:r>
      <w:r>
        <w:rPr>
          <w:rFonts w:eastAsia="微软雅黑"/>
          <w:b/>
          <w:i/>
          <w:sz w:val="20"/>
          <w:szCs w:val="20"/>
        </w:rPr>
        <w:t>2</w:t>
      </w:r>
      <w:r>
        <w:rPr>
          <w:rFonts w:eastAsia="微软雅黑" w:hint="eastAsia"/>
          <w:b/>
          <w:i/>
          <w:sz w:val="20"/>
          <w:szCs w:val="20"/>
        </w:rPr>
        <w:t>:</w:t>
      </w:r>
      <w:r>
        <w:rPr>
          <w:rFonts w:eastAsia="微软雅黑" w:hint="eastAsia"/>
          <w:i/>
          <w:sz w:val="20"/>
          <w:szCs w:val="20"/>
        </w:rPr>
        <w:t xml:space="preserve"> </w:t>
      </w:r>
      <w:r>
        <w:rPr>
          <w:rFonts w:eastAsia="微软雅黑"/>
          <w:i/>
          <w:sz w:val="20"/>
          <w:szCs w:val="20"/>
        </w:rPr>
        <w:t>NR Rel-15 partial CSI omission can achieve dynamic overhead reduction for Type II feedback.</w:t>
      </w:r>
    </w:p>
    <w:p w14:paraId="73D062C1"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 xml:space="preserve">Based on the above analysis, </w:t>
      </w:r>
      <w:r>
        <w:rPr>
          <w:rFonts w:eastAsia="微软雅黑"/>
          <w:sz w:val="20"/>
          <w:szCs w:val="20"/>
        </w:rPr>
        <w:t>Type II CSI overhead can be controlled well in Rel-15. Thus when studying Type II enhancements for overhead reduction, we should consider the overhead reduction mechanism supported in Rel-15 as a baseline.</w:t>
      </w:r>
    </w:p>
    <w:p w14:paraId="1C69753C" w14:textId="77777777" w:rsidR="00B457AD" w:rsidRDefault="00DF7AB4">
      <w:pPr>
        <w:snapToGrid w:val="0"/>
        <w:spacing w:before="120" w:afterLines="50" w:after="120" w:line="240" w:lineRule="auto"/>
        <w:jc w:val="both"/>
        <w:rPr>
          <w:rFonts w:eastAsia="微软雅黑"/>
          <w:i/>
          <w:sz w:val="20"/>
          <w:szCs w:val="20"/>
        </w:rPr>
      </w:pPr>
      <w:r>
        <w:rPr>
          <w:rFonts w:eastAsia="微软雅黑"/>
          <w:b/>
          <w:i/>
          <w:sz w:val="20"/>
          <w:szCs w:val="20"/>
        </w:rPr>
        <w:t xml:space="preserve">Proposal 1: </w:t>
      </w:r>
      <w:r>
        <w:rPr>
          <w:rFonts w:eastAsia="微软雅黑"/>
          <w:i/>
          <w:sz w:val="20"/>
          <w:szCs w:val="20"/>
        </w:rPr>
        <w:t>Enhancements for Type II overhead reduction shall consider the overhead reduction mechanism in Rel-15 as a baseline</w:t>
      </w:r>
    </w:p>
    <w:p w14:paraId="14C340A9" w14:textId="77777777" w:rsidR="00B457AD" w:rsidRDefault="00DF7AB4">
      <w:pPr>
        <w:pStyle w:val="ListParagraph"/>
        <w:numPr>
          <w:ilvl w:val="0"/>
          <w:numId w:val="5"/>
        </w:numPr>
        <w:snapToGrid w:val="0"/>
        <w:spacing w:before="120" w:afterLines="50" w:after="120"/>
        <w:ind w:leftChars="0"/>
        <w:jc w:val="both"/>
        <w:rPr>
          <w:rFonts w:eastAsia="微软雅黑"/>
          <w:i/>
          <w:szCs w:val="20"/>
        </w:rPr>
      </w:pPr>
      <w:r>
        <w:rPr>
          <w:rFonts w:eastAsia="微软雅黑" w:hint="eastAsia"/>
          <w:i/>
          <w:szCs w:val="20"/>
        </w:rPr>
        <w:t xml:space="preserve">Rel-15 overhead reduction mechanism </w:t>
      </w:r>
      <w:r>
        <w:rPr>
          <w:rFonts w:eastAsia="微软雅黑"/>
          <w:i/>
          <w:szCs w:val="20"/>
        </w:rPr>
        <w:t>includes flexible CSI reporting band configuration and partial CSI omission.</w:t>
      </w:r>
    </w:p>
    <w:p w14:paraId="21946046" w14:textId="77777777" w:rsidR="00B457AD" w:rsidRDefault="00DF7AB4">
      <w:pPr>
        <w:snapToGrid w:val="0"/>
        <w:spacing w:before="120" w:afterLines="50" w:after="120" w:line="240" w:lineRule="auto"/>
        <w:jc w:val="both"/>
        <w:rPr>
          <w:rFonts w:eastAsia="微软雅黑"/>
          <w:b/>
        </w:rPr>
      </w:pPr>
      <w:r>
        <w:rPr>
          <w:rFonts w:eastAsia="微软雅黑"/>
          <w:b/>
        </w:rPr>
        <w:t>2.2 Enhancements</w:t>
      </w:r>
      <w:r>
        <w:rPr>
          <w:rFonts w:eastAsia="微软雅黑" w:hint="eastAsia"/>
          <w:b/>
        </w:rPr>
        <w:t xml:space="preserve"> for Type II overhead reduction</w:t>
      </w:r>
    </w:p>
    <w:p w14:paraId="543E1ED7"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 xml:space="preserve">As mentioned above, </w:t>
      </w:r>
      <w:r>
        <w:rPr>
          <w:rFonts w:eastAsia="微软雅黑"/>
          <w:sz w:val="20"/>
          <w:szCs w:val="20"/>
        </w:rPr>
        <w:t>the major Type II overhead comes from sub-band phase and amplitude. Based on previous study, for each beam’s phase in one layer is correlated in time domain, as the phase mainly depends on the delay of that path. Further, the frequency selectivity of amplitude is not strong, which means sub-band amplitudes also have frequency domain correlation. Therefore, to exploit frequency-domain correlation of the combination coefficients potentially provides solutions to further Type II overhead reduction. Except utilizing frequency-domain correlation of combination coefficients, other solid solutions haven’t been identified in previous study. Considering limited TU allocated for Rel-16 MIMO, we propose to focus on using frequency-domain correlation of phase/amplitude for Type II overhead reduction.</w:t>
      </w:r>
    </w:p>
    <w:p w14:paraId="6E320DE5"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In fact, the Rel-15 overhead reduction mechanism</w:t>
      </w:r>
      <w:r>
        <w:rPr>
          <w:rFonts w:eastAsia="微软雅黑"/>
          <w:sz w:val="20"/>
          <w:szCs w:val="20"/>
        </w:rPr>
        <w:t>s</w:t>
      </w:r>
      <w:r>
        <w:rPr>
          <w:rFonts w:eastAsia="微软雅黑" w:hint="eastAsia"/>
          <w:sz w:val="20"/>
          <w:szCs w:val="20"/>
        </w:rPr>
        <w:t xml:space="preserve"> described in </w:t>
      </w:r>
      <w:r>
        <w:rPr>
          <w:rFonts w:eastAsia="微软雅黑"/>
          <w:sz w:val="20"/>
          <w:szCs w:val="20"/>
        </w:rPr>
        <w:t>S</w:t>
      </w:r>
      <w:r>
        <w:rPr>
          <w:rFonts w:eastAsia="微软雅黑" w:hint="eastAsia"/>
          <w:sz w:val="20"/>
          <w:szCs w:val="20"/>
        </w:rPr>
        <w:t>ection 2.1 ha</w:t>
      </w:r>
      <w:r>
        <w:rPr>
          <w:rFonts w:eastAsia="微软雅黑"/>
          <w:sz w:val="20"/>
          <w:szCs w:val="20"/>
        </w:rPr>
        <w:t>ve</w:t>
      </w:r>
      <w:r>
        <w:rPr>
          <w:rFonts w:eastAsia="微软雅黑" w:hint="eastAsia"/>
          <w:sz w:val="20"/>
          <w:szCs w:val="20"/>
        </w:rPr>
        <w:t xml:space="preserve"> already taken advantage of the </w:t>
      </w:r>
      <w:r>
        <w:rPr>
          <w:rFonts w:eastAsia="微软雅黑"/>
          <w:sz w:val="20"/>
          <w:szCs w:val="20"/>
        </w:rPr>
        <w:t>frequency-domain correlation for the combination coefficients. In the above mechanisms, UE reports sub-band coefficient information for only partial sub-bands in the BWP or configured CSI reporting band. gNB can derive the amplitude/phase of the non-reported sub-bands via interpolation. The performance of the interpolation can be guaranteed as the phases and amplitudes have frequency-domain correlation. The performance of these mechanisms is given in [2] with 1/2 or 3/4 overhead reduced.</w:t>
      </w:r>
    </w:p>
    <w:p w14:paraId="114C0AB2"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enhancements for Type II overhead reduction can be classified into two types of directions. </w:t>
      </w:r>
    </w:p>
    <w:p w14:paraId="2D4315EC" w14:textId="77777777" w:rsidR="00B457AD" w:rsidRDefault="00DF7AB4">
      <w:pPr>
        <w:pStyle w:val="ListParagraph"/>
        <w:numPr>
          <w:ilvl w:val="0"/>
          <w:numId w:val="5"/>
        </w:numPr>
        <w:snapToGrid w:val="0"/>
        <w:spacing w:before="120" w:afterLines="50" w:after="120"/>
        <w:ind w:leftChars="0"/>
        <w:jc w:val="both"/>
        <w:rPr>
          <w:rFonts w:eastAsia="微软雅黑"/>
          <w:szCs w:val="20"/>
          <w:lang w:val="en-US"/>
        </w:rPr>
      </w:pPr>
      <w:r>
        <w:rPr>
          <w:rFonts w:eastAsia="微软雅黑"/>
          <w:szCs w:val="20"/>
        </w:rPr>
        <w:t xml:space="preserve">The first type is to define a new codebook structure or CSI configuration. The new structure or configuration is usually selected semi-statically. This type can be seen as semi-static overhead reduction. </w:t>
      </w:r>
    </w:p>
    <w:p w14:paraId="01ACCE9D" w14:textId="77777777" w:rsidR="00B457AD" w:rsidRDefault="00DF7AB4">
      <w:pPr>
        <w:pStyle w:val="ListParagraph"/>
        <w:numPr>
          <w:ilvl w:val="0"/>
          <w:numId w:val="5"/>
        </w:numPr>
        <w:snapToGrid w:val="0"/>
        <w:spacing w:before="120" w:afterLines="50" w:after="120"/>
        <w:ind w:leftChars="0"/>
        <w:jc w:val="both"/>
        <w:rPr>
          <w:rFonts w:eastAsia="微软雅黑"/>
          <w:szCs w:val="20"/>
          <w:lang w:val="en-US"/>
        </w:rPr>
      </w:pPr>
      <w:r>
        <w:rPr>
          <w:rFonts w:eastAsia="微软雅黑"/>
          <w:szCs w:val="20"/>
        </w:rPr>
        <w:t>The other type is to extend the partial CSI omission rule. As the exact CSI overhead changes dynamically along with some CSI values, e.g., RI, this type of overhead reduction is to reduce the dynamic overhead so that the PUSCH resource allocation can be more flexible and simplified. This one can be regarded as dynamic overhead reduction.</w:t>
      </w:r>
    </w:p>
    <w:p w14:paraId="5D7F0246" w14:textId="77777777" w:rsidR="00B457AD" w:rsidRDefault="00DF7AB4">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Semi-static overhead reduction</w:t>
      </w:r>
    </w:p>
    <w:p w14:paraId="6C871BD5"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 xml:space="preserve">As discussed above, </w:t>
      </w:r>
      <w:r>
        <w:rPr>
          <w:rFonts w:eastAsia="微软雅黑"/>
          <w:sz w:val="20"/>
          <w:szCs w:val="20"/>
        </w:rPr>
        <w:t xml:space="preserve">the potential new codebook structure or CSI configuration for overhead reduction should focus on using frequency-domain correlation of the combination coefficients. </w:t>
      </w:r>
    </w:p>
    <w:p w14:paraId="1643BA82" w14:textId="77777777" w:rsidR="009A3E4E" w:rsidRPr="0066102B" w:rsidRDefault="009A3E4E" w:rsidP="009A3E4E">
      <w:pPr>
        <w:snapToGrid w:val="0"/>
        <w:spacing w:before="120" w:afterLines="50" w:after="120" w:line="240" w:lineRule="auto"/>
        <w:jc w:val="both"/>
        <w:rPr>
          <w:rFonts w:eastAsia="微软雅黑"/>
          <w:sz w:val="20"/>
          <w:szCs w:val="20"/>
          <w:u w:val="single"/>
        </w:rPr>
      </w:pPr>
      <w:r w:rsidRPr="0066102B">
        <w:rPr>
          <w:rFonts w:eastAsia="微软雅黑"/>
          <w:sz w:val="20"/>
          <w:szCs w:val="20"/>
          <w:u w:val="single"/>
        </w:rPr>
        <w:t>Differential coding of sub-band phases</w:t>
      </w:r>
    </w:p>
    <w:p w14:paraId="3F56D815" w14:textId="500EF96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 xml:space="preserve">One of the candidate solutions is to employ differential encoding for the sub-band phase. For example, in each of the L beams of one layer, if we use </w:t>
      </w:r>
      <w:r w:rsidR="00B74A4A">
        <w:rPr>
          <w:rFonts w:eastAsia="微软雅黑"/>
          <w:sz w:val="20"/>
          <w:szCs w:val="20"/>
        </w:rPr>
        <w:t>8</w:t>
      </w:r>
      <w:r>
        <w:rPr>
          <w:rFonts w:eastAsia="微软雅黑"/>
          <w:sz w:val="20"/>
          <w:szCs w:val="20"/>
        </w:rPr>
        <w:t>PSK quantization for one of the sub-bands, and 1-bit differential coding for other sub-bands, almost half of the sub-band phase overhead can be reduced. To be more specific, the reported sub-band phase of one sub-band represents the difference of its phase and the phase of its neighboring sub-band.</w:t>
      </w:r>
      <w:r w:rsidR="00B610DC">
        <w:rPr>
          <w:rFonts w:eastAsia="微软雅黑"/>
          <w:sz w:val="20"/>
          <w:szCs w:val="20"/>
        </w:rPr>
        <w:t xml:space="preserve"> Considering </w:t>
      </w:r>
      <w:r w:rsidR="00B610DC">
        <w:rPr>
          <w:rFonts w:eastAsia="微软雅黑"/>
          <w:sz w:val="20"/>
          <w:szCs w:val="20"/>
        </w:rPr>
        <w:lastRenderedPageBreak/>
        <w:t xml:space="preserve">the phase drift </w:t>
      </w:r>
      <w:r w:rsidR="00043F31">
        <w:rPr>
          <w:rFonts w:eastAsia="微软雅黑"/>
          <w:sz w:val="20"/>
          <w:szCs w:val="20"/>
        </w:rPr>
        <w:t>due to</w:t>
      </w:r>
      <w:r w:rsidR="00B610DC">
        <w:rPr>
          <w:rFonts w:eastAsia="微软雅黑"/>
          <w:sz w:val="20"/>
          <w:szCs w:val="20"/>
        </w:rPr>
        <w:t xml:space="preserve"> the path estimation error and</w:t>
      </w:r>
      <w:bookmarkStart w:id="2" w:name="_GoBack"/>
      <w:bookmarkEnd w:id="2"/>
      <w:r w:rsidR="00B610DC">
        <w:rPr>
          <w:rFonts w:eastAsia="微软雅黑"/>
          <w:sz w:val="20"/>
          <w:szCs w:val="20"/>
        </w:rPr>
        <w:t xml:space="preserve"> estimation error on the phase itself,</w:t>
      </w:r>
      <w:r w:rsidR="00146BFA">
        <w:rPr>
          <w:rFonts w:eastAsia="微软雅黑"/>
          <w:sz w:val="20"/>
          <w:szCs w:val="20"/>
        </w:rPr>
        <w:t xml:space="preserve"> we can report the 8PSK phase of the subband in the middle of the </w:t>
      </w:r>
      <w:r w:rsidR="00CD3CFE">
        <w:rPr>
          <w:rFonts w:eastAsia="微软雅黑"/>
          <w:sz w:val="20"/>
          <w:szCs w:val="20"/>
        </w:rPr>
        <w:t>BWP</w:t>
      </w:r>
      <w:r w:rsidR="00146BFA">
        <w:rPr>
          <w:rFonts w:eastAsia="微软雅黑"/>
          <w:sz w:val="20"/>
          <w:szCs w:val="20"/>
        </w:rPr>
        <w:t xml:space="preserve">, so that the </w:t>
      </w:r>
      <w:r w:rsidR="009F6C52">
        <w:rPr>
          <w:rFonts w:eastAsia="微软雅黑"/>
          <w:sz w:val="20"/>
          <w:szCs w:val="20"/>
        </w:rPr>
        <w:t>phase range of differentially coded subbands</w:t>
      </w:r>
      <w:r w:rsidR="00146BFA">
        <w:rPr>
          <w:rFonts w:eastAsia="微软雅黑"/>
          <w:sz w:val="20"/>
          <w:szCs w:val="20"/>
        </w:rPr>
        <w:t xml:space="preserve"> is </w:t>
      </w:r>
      <w:r w:rsidR="009F6C52">
        <w:rPr>
          <w:rFonts w:eastAsia="微软雅黑"/>
          <w:sz w:val="20"/>
          <w:szCs w:val="20"/>
        </w:rPr>
        <w:t>not too large</w:t>
      </w:r>
      <w:r w:rsidR="008D0A60">
        <w:rPr>
          <w:rFonts w:eastAsia="微软雅黑"/>
          <w:sz w:val="20"/>
          <w:szCs w:val="20"/>
        </w:rPr>
        <w:t>.</w:t>
      </w:r>
      <w:r>
        <w:rPr>
          <w:rFonts w:eastAsia="微软雅黑"/>
          <w:sz w:val="20"/>
          <w:szCs w:val="20"/>
        </w:rPr>
        <w:t xml:space="preserve"> The performance loss can be controlled due to the frequency correlation of the phase.</w:t>
      </w:r>
    </w:p>
    <w:p w14:paraId="684CAF2C" w14:textId="68ACAA54" w:rsidR="00160CAD" w:rsidRPr="00160CAD" w:rsidRDefault="00160CAD">
      <w:pPr>
        <w:snapToGrid w:val="0"/>
        <w:spacing w:before="120" w:afterLines="50" w:after="120" w:line="240" w:lineRule="auto"/>
        <w:jc w:val="both"/>
        <w:rPr>
          <w:rFonts w:eastAsia="微软雅黑"/>
          <w:sz w:val="20"/>
          <w:szCs w:val="20"/>
          <w:u w:val="single"/>
        </w:rPr>
      </w:pPr>
      <w:r w:rsidRPr="0066102B">
        <w:rPr>
          <w:rFonts w:eastAsia="微软雅黑"/>
          <w:sz w:val="20"/>
          <w:szCs w:val="20"/>
          <w:u w:val="single"/>
        </w:rPr>
        <w:t>SVD based operation on the sub-band coefficients</w:t>
      </w:r>
    </w:p>
    <w:p w14:paraId="01AC62B8" w14:textId="7777777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 xml:space="preserve">The above example and some related approaches, e.g., the flexible CSI reporting band configuration in Rel-15, exploit the frequency domain correlation by using a pre-defined frequency-domain pattern to reduce sub-band overhead. However, as the frequency-domain pattern can be different for different channel realizations, a pre-defined pattern would reduce performance. One potential approach taking advantage of the channel characterization for overhead reduction is based on SVD on the combination coefficients. </w:t>
      </w:r>
    </w:p>
    <w:p w14:paraId="22C95E62" w14:textId="77777777" w:rsidR="00B457AD" w:rsidRDefault="00DF7AB4">
      <w:pPr>
        <w:snapToGrid w:val="0"/>
        <w:spacing w:before="120" w:afterLines="50" w:after="120" w:line="240" w:lineRule="auto"/>
        <w:jc w:val="center"/>
      </w:pPr>
      <w:r>
        <w:object w:dxaOrig="4970" w:dyaOrig="3810" w14:anchorId="405C3181">
          <v:shape id="_x0000_i1026" type="#_x0000_t75" style="width:248.65pt;height:191.35pt" o:ole="">
            <v:imagedata r:id="rId10" o:title=""/>
          </v:shape>
          <o:OLEObject Type="Embed" ProgID="Visio.Drawing.11" ShapeID="_x0000_i1026" DrawAspect="Content" ObjectID="_1599737590" r:id="rId11"/>
        </w:object>
      </w:r>
    </w:p>
    <w:p w14:paraId="22369FC8" w14:textId="77777777" w:rsidR="00B457AD" w:rsidRDefault="00DF7AB4">
      <w:pPr>
        <w:snapToGrid w:val="0"/>
        <w:spacing w:before="120" w:afterLines="50" w:after="120" w:line="240" w:lineRule="auto"/>
        <w:jc w:val="center"/>
        <w:rPr>
          <w:rFonts w:eastAsia="微软雅黑"/>
          <w:sz w:val="20"/>
          <w:szCs w:val="20"/>
        </w:rPr>
      </w:pPr>
      <w:r>
        <w:rPr>
          <w:sz w:val="20"/>
          <w:szCs w:val="20"/>
        </w:rPr>
        <w:t>Fig.2 Matrix composed by coefficients of all sub-bands</w:t>
      </w:r>
    </w:p>
    <w:p w14:paraId="249C8EC1" w14:textId="7777777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Consider a Type II CSI report for N ports and M sub-bands with L beams. A rank R Type II precoder in sub-band m can be expressed as follows</w:t>
      </w:r>
    </w:p>
    <w:p w14:paraId="251D4673" w14:textId="77777777" w:rsidR="00B457AD" w:rsidRDefault="00F824B5">
      <w:pPr>
        <w:rPr>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F</m:t>
              </m:r>
              <m:ctrlPr>
                <w:rPr>
                  <w:rFonts w:ascii="Cambria Math" w:hAnsi="Cambria Math"/>
                  <w:b/>
                  <w:i/>
                  <w:sz w:val="20"/>
                  <w:szCs w:val="20"/>
                </w:rPr>
              </m:ctrlPr>
            </m:e>
            <m:sub>
              <m:r>
                <w:rPr>
                  <w:rFonts w:ascii="Cambria Math" w:hAnsi="Cambria Math"/>
                  <w:sz w:val="20"/>
                  <w:szCs w:val="20"/>
                </w:rPr>
                <m:t>m</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e>
                </m:mr>
              </m:m>
            </m:e>
          </m:d>
          <m:sSubSup>
            <m:sSubSupPr>
              <m:ctrlPr>
                <w:rPr>
                  <w:rFonts w:ascii="Cambria Math" w:hAnsi="Cambria Math"/>
                  <w:i/>
                  <w:sz w:val="20"/>
                  <w:szCs w:val="20"/>
                </w:rPr>
              </m:ctrlPr>
            </m:sSubSupPr>
            <m:e>
              <m:r>
                <m:rPr>
                  <m:sty m:val="bi"/>
                </m:rPr>
                <w:rPr>
                  <w:rFonts w:ascii="Cambria Math" w:hAnsi="Cambria Math"/>
                  <w:sz w:val="20"/>
                  <w:szCs w:val="20"/>
                </w:rPr>
                <m:t>W</m:t>
              </m:r>
              <m:ctrlPr>
                <w:rPr>
                  <w:rFonts w:ascii="Cambria Math" w:hAnsi="Cambria Math"/>
                  <w:b/>
                  <w:i/>
                  <w:sz w:val="20"/>
                  <w:szCs w:val="20"/>
                </w:rPr>
              </m:ctrlPr>
            </m:e>
            <m:sub>
              <m:r>
                <w:rPr>
                  <w:rFonts w:ascii="Cambria Math" w:hAnsi="Cambria Math"/>
                  <w:sz w:val="20"/>
                  <w:szCs w:val="20"/>
                </w:rPr>
                <m:t>2</m:t>
              </m:r>
            </m:sub>
            <m:sup>
              <m:r>
                <w:rPr>
                  <w:rFonts w:ascii="Cambria Math" w:hAnsi="Cambria Math"/>
                  <w:sz w:val="20"/>
                  <w:szCs w:val="20"/>
                </w:rPr>
                <m:t>m</m:t>
              </m:r>
            </m:sup>
          </m:sSubSup>
          <m:r>
            <w:rPr>
              <w:rFonts w:ascii="Cambria Math" w:hAnsi="Cambria Math"/>
              <w:sz w:val="20"/>
              <w:szCs w:val="20"/>
            </w:rPr>
            <m:t>=</m:t>
          </m:r>
          <m:d>
            <m:dPr>
              <m:begChr m:val="["/>
              <m:endChr m:val="]"/>
              <m:ctrlPr>
                <w:rPr>
                  <w:rFonts w:ascii="Cambria Math" w:hAnsi="Cambria Math"/>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e>
                </m:mr>
              </m:m>
            </m:e>
          </m:d>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1,1</m:t>
                              </m:r>
                            </m:sub>
                          </m:sSub>
                          <m:d>
                            <m:dPr>
                              <m:ctrlPr>
                                <w:rPr>
                                  <w:rFonts w:ascii="Cambria Math" w:hAnsi="Cambria Math"/>
                                  <w:i/>
                                  <w:sz w:val="20"/>
                                  <w:szCs w:val="20"/>
                                </w:rPr>
                              </m:ctrlPr>
                            </m:dPr>
                            <m:e>
                              <m:r>
                                <w:rPr>
                                  <w:rFonts w:ascii="Cambria Math" w:hAnsi="Cambria Math"/>
                                  <w:sz w:val="20"/>
                                  <w:szCs w:val="20"/>
                                </w:rPr>
                                <m:t>1</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L+1,1</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2L,1</m:t>
                                          </m:r>
                                        </m:sub>
                                      </m:sSub>
                                      <m:r>
                                        <w:rPr>
                                          <w:rFonts w:ascii="Cambria Math" w:hAnsi="Cambria Math"/>
                                          <w:sz w:val="20"/>
                                          <w:szCs w:val="20"/>
                                        </w:rPr>
                                        <m:t>(m)</m:t>
                                      </m:r>
                                    </m:e>
                                  </m:mr>
                                </m:m>
                              </m:e>
                            </m:mr>
                          </m:m>
                        </m:e>
                      </m:mr>
                    </m:m>
                  </m:e>
                  <m:e>
                    <m:r>
                      <w:rPr>
                        <w:rFonts w:ascii="Cambria Math" w:hAnsi="Cambria Math"/>
                        <w:sz w:val="20"/>
                        <w:szCs w:val="20"/>
                      </w:rPr>
                      <m:t>⋯</m:t>
                    </m:r>
                  </m:e>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1,R</m:t>
                              </m:r>
                            </m:sub>
                          </m:sSub>
                          <m:d>
                            <m:dPr>
                              <m:ctrlPr>
                                <w:rPr>
                                  <w:rFonts w:ascii="Cambria Math" w:hAnsi="Cambria Math"/>
                                  <w:i/>
                                  <w:sz w:val="20"/>
                                  <w:szCs w:val="20"/>
                                </w:rPr>
                              </m:ctrlPr>
                            </m:dPr>
                            <m:e>
                              <m:r>
                                <w:rPr>
                                  <w:rFonts w:ascii="Cambria Math" w:hAnsi="Cambria Math"/>
                                  <w:sz w:val="20"/>
                                  <w:szCs w:val="20"/>
                                </w:rPr>
                                <m:t>1</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(m)</m:t>
                                      </m:r>
                                    </m:e>
                                  </m:mr>
                                </m:m>
                              </m:e>
                            </m:mr>
                          </m:m>
                        </m:e>
                      </m:mr>
                    </m:m>
                  </m:e>
                </m:mr>
              </m:m>
            </m:e>
          </m:d>
        </m:oMath>
      </m:oMathPara>
    </w:p>
    <w:p w14:paraId="6F24766D" w14:textId="7777777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w</w:t>
      </w:r>
      <w:r>
        <w:rPr>
          <w:rFonts w:eastAsia="微软雅黑" w:hint="eastAsia"/>
          <w:sz w:val="20"/>
          <w:szCs w:val="20"/>
        </w:rPr>
        <w:t xml:space="preserve">here </w:t>
      </w:r>
      <m:oMath>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oMath>
      <w:r>
        <w:rPr>
          <w:rFonts w:eastAsia="微软雅黑" w:hint="eastAsia"/>
          <w:sz w:val="20"/>
          <w:szCs w:val="20"/>
        </w:rPr>
        <w:t xml:space="preserve"> </w:t>
      </w:r>
      <w:r>
        <w:rPr>
          <w:rFonts w:eastAsia="微软雅黑"/>
          <w:sz w:val="20"/>
          <w:szCs w:val="20"/>
        </w:rPr>
        <w:t xml:space="preserve">are the L combined beams and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oMath>
      <w:r>
        <w:rPr>
          <w:rFonts w:eastAsia="微软雅黑" w:hint="eastAsia"/>
          <w:sz w:val="20"/>
          <w:szCs w:val="20"/>
        </w:rPr>
        <w:t xml:space="preserve"> denotes the coefficient for beam l in sub-band m and layer r.</w:t>
      </w:r>
      <w:r>
        <w:rPr>
          <w:rFonts w:eastAsia="微软雅黑"/>
          <w:sz w:val="20"/>
          <w:szCs w:val="20"/>
        </w:rPr>
        <w:t xml:space="preserve"> Then for each layer r, each sub-band has 2L coefficients. The coefficients for all the beams and sub-bands in layer r can be expressed as the following 2L*M matrix.</w:t>
      </w:r>
    </w:p>
    <w:p w14:paraId="64E02CD4" w14:textId="77777777" w:rsidR="00B457AD" w:rsidRDefault="00F824B5">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C</m:t>
              </m:r>
            </m:e>
            <m:sub>
              <m:r>
                <w:rPr>
                  <w:rFonts w:ascii="Cambria Math" w:hAnsi="Cambria Math"/>
                  <w:sz w:val="20"/>
                  <w:szCs w:val="20"/>
                </w:rPr>
                <m:t>r</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1,r</m:t>
                              </m:r>
                            </m:sub>
                          </m:sSub>
                          <m:d>
                            <m:dPr>
                              <m:ctrlPr>
                                <w:rPr>
                                  <w:rFonts w:ascii="Cambria Math" w:hAnsi="Cambria Math"/>
                                  <w:i/>
                                  <w:sz w:val="20"/>
                                  <w:szCs w:val="20"/>
                                </w:rPr>
                              </m:ctrlPr>
                            </m:dPr>
                            <m:e>
                              <m:r>
                                <w:rPr>
                                  <w:rFonts w:ascii="Cambria Math" w:hAnsi="Cambria Math"/>
                                  <w:sz w:val="20"/>
                                  <w:szCs w:val="20"/>
                                </w:rPr>
                                <m:t>1</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1</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1</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(1)</m:t>
                                      </m:r>
                                    </m:e>
                                  </m:mr>
                                </m:m>
                              </m:e>
                            </m:mr>
                          </m:m>
                        </m:e>
                      </m:mr>
                    </m:m>
                  </m:e>
                  <m:e>
                    <m:r>
                      <w:rPr>
                        <w:rFonts w:ascii="Cambria Math" w:hAnsi="Cambria Math"/>
                        <w:sz w:val="20"/>
                        <w:szCs w:val="20"/>
                      </w:rPr>
                      <m:t>⋯</m:t>
                    </m:r>
                  </m:e>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1,r</m:t>
                              </m:r>
                            </m:sub>
                          </m:sSub>
                          <m:d>
                            <m:dPr>
                              <m:ctrlPr>
                                <w:rPr>
                                  <w:rFonts w:ascii="Cambria Math" w:hAnsi="Cambria Math"/>
                                  <w:i/>
                                  <w:sz w:val="20"/>
                                  <w:szCs w:val="20"/>
                                </w:rPr>
                              </m:ctrlPr>
                            </m:dPr>
                            <m:e>
                              <m:r>
                                <w:rPr>
                                  <w:rFonts w:ascii="Cambria Math" w:hAnsi="Cambria Math"/>
                                  <w:sz w:val="20"/>
                                  <w:szCs w:val="20"/>
                                </w:rPr>
                                <m:t>M</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(M)</m:t>
                                      </m:r>
                                    </m:e>
                                  </m:mr>
                                </m:m>
                              </m:e>
                            </m:mr>
                          </m:m>
                        </m:e>
                      </m:mr>
                    </m:m>
                  </m:e>
                </m:mr>
              </m:m>
            </m:e>
          </m:d>
        </m:oMath>
      </m:oMathPara>
    </w:p>
    <w:p w14:paraId="0724BD53"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 xml:space="preserve">The composition of the matrix </w:t>
      </w:r>
      <w:r>
        <w:rPr>
          <w:rFonts w:eastAsia="微软雅黑" w:hint="eastAsia"/>
          <w:b/>
          <w:sz w:val="20"/>
          <w:szCs w:val="20"/>
        </w:rPr>
        <w:t>C</w:t>
      </w:r>
      <w:r>
        <w:rPr>
          <w:rFonts w:eastAsia="微软雅黑" w:hint="eastAsia"/>
          <w:sz w:val="20"/>
          <w:szCs w:val="20"/>
          <w:vertAlign w:val="subscript"/>
        </w:rPr>
        <w:t>r</w:t>
      </w:r>
      <w:r>
        <w:rPr>
          <w:rFonts w:eastAsia="微软雅黑" w:hint="eastAsia"/>
          <w:sz w:val="20"/>
          <w:szCs w:val="20"/>
        </w:rPr>
        <w:t xml:space="preserve"> is also depicted in Fig. </w:t>
      </w:r>
      <w:r>
        <w:rPr>
          <w:rFonts w:eastAsia="微软雅黑"/>
          <w:sz w:val="20"/>
          <w:szCs w:val="20"/>
        </w:rPr>
        <w:t xml:space="preserve">2. Based on SVD, the correlation of the different sub-bands can be derived for </w:t>
      </w:r>
      <w:r>
        <w:rPr>
          <w:rFonts w:eastAsia="微软雅黑" w:hint="eastAsia"/>
          <w:b/>
          <w:sz w:val="20"/>
          <w:szCs w:val="20"/>
        </w:rPr>
        <w:t>C</w:t>
      </w:r>
      <w:r>
        <w:rPr>
          <w:rFonts w:eastAsia="微软雅黑" w:hint="eastAsia"/>
          <w:sz w:val="20"/>
          <w:szCs w:val="20"/>
          <w:vertAlign w:val="subscript"/>
        </w:rPr>
        <w:t>r</w:t>
      </w:r>
      <w:r>
        <w:rPr>
          <w:rFonts w:eastAsia="微软雅黑"/>
          <w:sz w:val="20"/>
          <w:szCs w:val="20"/>
        </w:rPr>
        <w:t>, i.e.,</w:t>
      </w:r>
    </w:p>
    <w:p w14:paraId="277FD9BE" w14:textId="77777777" w:rsidR="00B457AD" w:rsidRDefault="00F824B5">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C</m:t>
              </m:r>
            </m:e>
            <m:sub>
              <m:r>
                <w:rPr>
                  <w:rFonts w:ascii="Cambria Math" w:hAnsi="Cambria Math"/>
                  <w:sz w:val="20"/>
                  <w:szCs w:val="20"/>
                </w:rPr>
                <m:t>r</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U</m:t>
              </m:r>
            </m:e>
            <m:sub>
              <m:r>
                <w:rPr>
                  <w:rFonts w:ascii="Cambria Math" w:hAnsi="Cambria Math"/>
                  <w:sz w:val="20"/>
                  <w:szCs w:val="20"/>
                </w:rPr>
                <m:t>r</m:t>
              </m:r>
            </m:sub>
          </m:sSub>
          <m:sSub>
            <m:sSubPr>
              <m:ctrlPr>
                <w:rPr>
                  <w:rFonts w:ascii="Cambria Math" w:hAnsi="Cambria Math"/>
                  <w:i/>
                  <w:sz w:val="20"/>
                  <w:szCs w:val="20"/>
                </w:rPr>
              </m:ctrlPr>
            </m:sSubPr>
            <m:e>
              <m:r>
                <m:rPr>
                  <m:sty m:val="bi"/>
                </m:rPr>
                <w:rPr>
                  <w:rFonts w:ascii="Cambria Math" w:hAnsi="Cambria Math"/>
                  <w:sz w:val="20"/>
                  <w:szCs w:val="20"/>
                </w:rPr>
                <m:t>D</m:t>
              </m:r>
            </m:e>
            <m:sub>
              <m:r>
                <w:rPr>
                  <w:rFonts w:ascii="Cambria Math" w:hAnsi="Cambria Math"/>
                  <w:sz w:val="20"/>
                  <w:szCs w:val="20"/>
                </w:rPr>
                <m:t>r</m:t>
              </m:r>
            </m:sub>
          </m:sSub>
          <m:sSubSup>
            <m:sSubSupPr>
              <m:ctrlPr>
                <w:rPr>
                  <w:rFonts w:ascii="Cambria Math" w:hAnsi="Cambria Math"/>
                  <w:i/>
                  <w:sz w:val="20"/>
                  <w:szCs w:val="20"/>
                </w:rPr>
              </m:ctrlPr>
            </m:sSubSupPr>
            <m:e>
              <m:r>
                <m:rPr>
                  <m:sty m:val="bi"/>
                </m:rPr>
                <w:rPr>
                  <w:rFonts w:ascii="Cambria Math" w:hAnsi="Cambria Math"/>
                  <w:sz w:val="20"/>
                  <w:szCs w:val="20"/>
                </w:rPr>
                <m:t>V</m:t>
              </m:r>
            </m:e>
            <m:sub>
              <m:r>
                <w:rPr>
                  <w:rFonts w:ascii="Cambria Math" w:hAnsi="Cambria Math"/>
                  <w:sz w:val="20"/>
                  <w:szCs w:val="20"/>
                </w:rPr>
                <m:t>r</m:t>
              </m:r>
            </m:sub>
            <m:sup>
              <m:r>
                <w:rPr>
                  <w:rFonts w:ascii="Cambria Math" w:hAnsi="Cambria Math"/>
                  <w:sz w:val="20"/>
                  <w:szCs w:val="20"/>
                </w:rPr>
                <m:t>H</m:t>
              </m:r>
            </m:sup>
          </m:sSubSup>
        </m:oMath>
      </m:oMathPara>
    </w:p>
    <w:p w14:paraId="6ED11787"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 xml:space="preserve">The correlation of the coefficients in beam </w:t>
      </w:r>
      <w:r>
        <w:rPr>
          <w:rFonts w:eastAsia="微软雅黑"/>
          <w:sz w:val="20"/>
          <w:szCs w:val="20"/>
        </w:rPr>
        <w:t>domain</w:t>
      </w:r>
      <w:r>
        <w:rPr>
          <w:rFonts w:eastAsia="微软雅黑" w:hint="eastAsia"/>
          <w:sz w:val="20"/>
          <w:szCs w:val="20"/>
        </w:rPr>
        <w:t xml:space="preserve"> </w:t>
      </w:r>
      <w:r>
        <w:rPr>
          <w:rFonts w:eastAsia="微软雅黑"/>
          <w:sz w:val="20"/>
          <w:szCs w:val="20"/>
        </w:rPr>
        <w:t xml:space="preserve">and frequency domain is realized in </w:t>
      </w:r>
      <w:r>
        <w:rPr>
          <w:rFonts w:eastAsia="微软雅黑"/>
          <w:b/>
          <w:sz w:val="20"/>
          <w:szCs w:val="20"/>
        </w:rPr>
        <w:t>U</w:t>
      </w:r>
      <w:r>
        <w:rPr>
          <w:rFonts w:eastAsia="微软雅黑"/>
          <w:sz w:val="20"/>
          <w:szCs w:val="20"/>
          <w:vertAlign w:val="subscript"/>
        </w:rPr>
        <w:t>r</w:t>
      </w:r>
      <w:r>
        <w:rPr>
          <w:rFonts w:eastAsia="微软雅黑"/>
          <w:sz w:val="20"/>
          <w:szCs w:val="20"/>
        </w:rPr>
        <w:t xml:space="preserve"> and </w:t>
      </w:r>
      <w:r>
        <w:rPr>
          <w:rFonts w:eastAsia="微软雅黑"/>
          <w:b/>
          <w:sz w:val="20"/>
          <w:szCs w:val="20"/>
        </w:rPr>
        <w:t>V</w:t>
      </w:r>
      <w:r>
        <w:rPr>
          <w:rFonts w:eastAsia="微软雅黑"/>
          <w:sz w:val="20"/>
          <w:szCs w:val="20"/>
          <w:vertAlign w:val="subscript"/>
        </w:rPr>
        <w:t>r</w:t>
      </w:r>
      <w:r>
        <w:rPr>
          <w:rFonts w:eastAsia="微软雅黑"/>
          <w:sz w:val="20"/>
          <w:szCs w:val="20"/>
        </w:rPr>
        <w:t xml:space="preserve">, respectively. Then if we extract the first d vectors in </w:t>
      </w:r>
      <w:r>
        <w:rPr>
          <w:rFonts w:eastAsia="微软雅黑"/>
          <w:b/>
          <w:sz w:val="20"/>
          <w:szCs w:val="20"/>
        </w:rPr>
        <w:t>U</w:t>
      </w:r>
      <w:r>
        <w:rPr>
          <w:rFonts w:eastAsia="微软雅黑"/>
          <w:sz w:val="20"/>
          <w:szCs w:val="20"/>
          <w:vertAlign w:val="subscript"/>
        </w:rPr>
        <w:t>r</w:t>
      </w:r>
      <w:r>
        <w:rPr>
          <w:rFonts w:eastAsia="微软雅黑"/>
          <w:sz w:val="20"/>
          <w:szCs w:val="20"/>
        </w:rPr>
        <w:t xml:space="preserve"> and </w:t>
      </w:r>
      <w:r>
        <w:rPr>
          <w:rFonts w:eastAsia="微软雅黑"/>
          <w:b/>
          <w:sz w:val="20"/>
          <w:szCs w:val="20"/>
        </w:rPr>
        <w:t>V</w:t>
      </w:r>
      <w:r>
        <w:rPr>
          <w:rFonts w:eastAsia="微软雅黑"/>
          <w:sz w:val="20"/>
          <w:szCs w:val="20"/>
          <w:vertAlign w:val="subscript"/>
        </w:rPr>
        <w:t>r</w:t>
      </w:r>
      <w:r>
        <w:rPr>
          <w:rFonts w:eastAsia="微软雅黑"/>
          <w:sz w:val="20"/>
          <w:szCs w:val="20"/>
        </w:rPr>
        <w:t xml:space="preserve">, and multiply the first d singular values of </w:t>
      </w:r>
      <m:oMath>
        <m:sSub>
          <m:sSubPr>
            <m:ctrlPr>
              <w:rPr>
                <w:rFonts w:ascii="Cambria Math" w:hAnsi="Cambria Math"/>
                <w:i/>
                <w:sz w:val="20"/>
                <w:szCs w:val="20"/>
              </w:rPr>
            </m:ctrlPr>
          </m:sSubPr>
          <m:e>
            <m:r>
              <m:rPr>
                <m:sty m:val="bi"/>
              </m:rPr>
              <w:rPr>
                <w:rFonts w:ascii="Cambria Math" w:hAnsi="Cambria Math"/>
                <w:sz w:val="20"/>
                <w:szCs w:val="20"/>
              </w:rPr>
              <m:t>D</m:t>
            </m:r>
          </m:e>
          <m:sub>
            <m:r>
              <w:rPr>
                <w:rFonts w:ascii="Cambria Math" w:hAnsi="Cambria Math"/>
                <w:sz w:val="20"/>
                <w:szCs w:val="20"/>
              </w:rPr>
              <m:t>r</m:t>
            </m:r>
          </m:sub>
        </m:sSub>
      </m:oMath>
      <w:r>
        <w:rPr>
          <w:rFonts w:eastAsia="微软雅黑"/>
          <w:sz w:val="20"/>
          <w:szCs w:val="20"/>
        </w:rPr>
        <w:t xml:space="preserve"> into </w:t>
      </w:r>
      <w:r>
        <w:rPr>
          <w:rFonts w:eastAsia="微软雅黑"/>
          <w:b/>
          <w:sz w:val="20"/>
          <w:szCs w:val="20"/>
        </w:rPr>
        <w:t>U</w:t>
      </w:r>
      <w:r>
        <w:rPr>
          <w:rFonts w:eastAsia="微软雅黑"/>
          <w:sz w:val="20"/>
          <w:szCs w:val="20"/>
          <w:vertAlign w:val="subscript"/>
        </w:rPr>
        <w:t>r</w:t>
      </w:r>
      <w:r>
        <w:rPr>
          <w:rFonts w:eastAsia="微软雅黑"/>
          <w:sz w:val="20"/>
          <w:szCs w:val="20"/>
        </w:rPr>
        <w:t xml:space="preserve"> or </w:t>
      </w:r>
      <w:r>
        <w:rPr>
          <w:rFonts w:eastAsia="微软雅黑"/>
          <w:b/>
          <w:sz w:val="20"/>
          <w:szCs w:val="20"/>
        </w:rPr>
        <w:t>V</w:t>
      </w:r>
      <w:r>
        <w:rPr>
          <w:rFonts w:eastAsia="微软雅黑"/>
          <w:sz w:val="20"/>
          <w:szCs w:val="20"/>
          <w:vertAlign w:val="subscript"/>
        </w:rPr>
        <w:t>r</w:t>
      </w:r>
      <w:r>
        <w:rPr>
          <w:rFonts w:eastAsia="微软雅黑"/>
          <w:sz w:val="20"/>
          <w:szCs w:val="20"/>
        </w:rPr>
        <w:t>, we have</w:t>
      </w:r>
    </w:p>
    <w:p w14:paraId="66807726" w14:textId="77777777" w:rsidR="00B457AD" w:rsidRDefault="00F824B5">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(d)H</m:t>
              </m:r>
            </m:sup>
          </m:sSubSup>
        </m:oMath>
      </m:oMathPara>
    </w:p>
    <w:p w14:paraId="6967D63A" w14:textId="7777777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 xml:space="preserve"> is a 2L</w:t>
      </w:r>
      <w:r>
        <w:rPr>
          <w:rFonts w:eastAsia="微软雅黑"/>
          <w:sz w:val="20"/>
          <w:szCs w:val="20"/>
        </w:rPr>
        <w:t xml:space="preserve">*d matrix,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 xml:space="preserve"> is a </w:t>
      </w:r>
      <w:r>
        <w:rPr>
          <w:rFonts w:eastAsia="微软雅黑"/>
          <w:sz w:val="20"/>
          <w:szCs w:val="20"/>
        </w:rPr>
        <w:t xml:space="preserve">M*d matrix and the vectors in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or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are orthogonal mutually. Then UE can quantize and feed back the amplitude and phase of the entries in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w:t>
      </w:r>
      <w:r>
        <w:rPr>
          <w:rFonts w:eastAsia="微软雅黑"/>
          <w:sz w:val="20"/>
          <w:szCs w:val="20"/>
        </w:rPr>
        <w:t xml:space="preserve"> gNB can recover the precoders for different sub-bands based on </w:t>
      </w:r>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oMath>
      <w:r>
        <w:rPr>
          <w:rFonts w:eastAsia="微软雅黑" w:hint="eastAsia"/>
          <w:sz w:val="20"/>
          <w:szCs w:val="20"/>
        </w:rPr>
        <w:t xml:space="preserve">. </w:t>
      </w:r>
      <w:r>
        <w:rPr>
          <w:rFonts w:eastAsia="微软雅黑"/>
          <w:sz w:val="20"/>
          <w:szCs w:val="20"/>
        </w:rPr>
        <w:t xml:space="preserve">Further, sub-band CQI is derived and reported based on </w:t>
      </w:r>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oMath>
      <w:r>
        <w:rPr>
          <w:rFonts w:eastAsia="微软雅黑" w:hint="eastAsia"/>
          <w:sz w:val="20"/>
          <w:szCs w:val="20"/>
        </w:rPr>
        <w:t>.</w:t>
      </w:r>
    </w:p>
    <w:p w14:paraId="4F925EB6" w14:textId="7777777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In the above SVD based feedback, only (M+2L)*d*R coefficients are quantized and fed back compared with 2L*M*R coefficients in original Type II CSI. If d is set to 2, using Type II quantization approach in Rel-15, almost half of the Type II sub-band overhead can be reduced for L=4 and M&gt;=9.</w:t>
      </w:r>
    </w:p>
    <w:p w14:paraId="3D485EAF" w14:textId="77777777" w:rsidR="00B457AD" w:rsidRDefault="00DF7AB4">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Dynamic overhead reduction</w:t>
      </w:r>
    </w:p>
    <w:p w14:paraId="1C652F00"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 xml:space="preserve">In Rel-15, dynamic overhead reduction for Type </w:t>
      </w:r>
      <w:r>
        <w:rPr>
          <w:rFonts w:eastAsia="微软雅黑"/>
          <w:sz w:val="20"/>
          <w:szCs w:val="20"/>
        </w:rPr>
        <w:t xml:space="preserve">II is realized by partial CSI omission. Specifically, if the allocated PUSCH cannot carry the CSI report based on a given code rate, UE would omit the sub-band phase and amplitude of the Type II CSI in odd sub-bands as shown in Fig. 1. Based on this mechanism, half of the CSI overhead can be reduced dynamically. </w:t>
      </w:r>
    </w:p>
    <w:p w14:paraId="70C8DB27" w14:textId="7777777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 xml:space="preserve">The current granularity of the omission is half of the sub-bands. If reducing half of the sub-band CSI cannot fulfill the PUSCH capacity, the entire sub-band CSI is omitted. It can be enhanced by introducing more levels of omission. For example, if omitting half of the sub-band cannot meet the PUSCH capacity, UE can try to omit 3/4 of the subbands by reporting the sub-band CSI in sub-band 0, 4, 8, …, i.e., by a comb-4 pattern. If the CSI overhead based on comb-4 can meet the PUSCH capacity but CSI overhead of comb-2 cannot, UE will omit the sub-band CSI in sub-bands except sub-band 0, 4, 8…. The performance of comb-4 is simulated in [2], which shows the performance loss is not large by using gNB-side interpolation. </w:t>
      </w:r>
    </w:p>
    <w:p w14:paraId="648C644C" w14:textId="7777777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Extending the partial CSI omission rule to a finer granularity will give gNB more flexibility to do PUSCH resource allocation. Especially, if the rank of Type II is extended to RI&lt;=4, the dynamic range of the sub-band overhead is much larger than the current RI&lt;=2. Even if half of the sub-band CSI is omitted, the total CSI overhead difference for different RI values can still be as larger as a one-layer sub-band CSI payload, i.e., more than 100 bits. Thus the current CSI omission granularity is not sufficient. The introduction of a comb 4 would reduce the rank-4 overhead to a similar overhead as rank 1.</w:t>
      </w:r>
    </w:p>
    <w:p w14:paraId="78F09EA2" w14:textId="77777777" w:rsidR="00B457AD" w:rsidRDefault="00DF7AB4">
      <w:pPr>
        <w:snapToGrid w:val="0"/>
        <w:spacing w:before="120" w:afterLines="50" w:after="120" w:line="240" w:lineRule="auto"/>
        <w:jc w:val="both"/>
        <w:rPr>
          <w:rFonts w:eastAsia="微软雅黑"/>
          <w:i/>
          <w:sz w:val="20"/>
          <w:szCs w:val="20"/>
        </w:rPr>
      </w:pPr>
      <w:r>
        <w:rPr>
          <w:rFonts w:eastAsia="微软雅黑"/>
          <w:b/>
          <w:i/>
          <w:sz w:val="20"/>
          <w:szCs w:val="20"/>
        </w:rPr>
        <w:t>Proposal 2:</w:t>
      </w:r>
      <w:r>
        <w:rPr>
          <w:rFonts w:eastAsia="微软雅黑"/>
          <w:i/>
          <w:sz w:val="20"/>
          <w:szCs w:val="20"/>
        </w:rPr>
        <w:t xml:space="preserve"> Both semi-static overhead reduction and dynamic overhead reduction should be considered in Rel-16.</w:t>
      </w:r>
    </w:p>
    <w:p w14:paraId="4202A3B0" w14:textId="77777777" w:rsidR="00B457AD" w:rsidRDefault="00DF7AB4">
      <w:pPr>
        <w:pStyle w:val="ListParagraph"/>
        <w:numPr>
          <w:ilvl w:val="0"/>
          <w:numId w:val="5"/>
        </w:numPr>
        <w:snapToGrid w:val="0"/>
        <w:spacing w:before="120" w:afterLines="50" w:after="120"/>
        <w:ind w:leftChars="0"/>
        <w:jc w:val="both"/>
        <w:rPr>
          <w:rFonts w:eastAsia="微软雅黑"/>
          <w:i/>
          <w:szCs w:val="20"/>
        </w:rPr>
      </w:pPr>
      <w:r>
        <w:rPr>
          <w:rFonts w:ascii="Times New Roman" w:eastAsia="微软雅黑" w:hAnsi="Times New Roman" w:cs="Times New Roman"/>
          <w:i/>
          <w:szCs w:val="20"/>
          <w:lang w:val="en-US"/>
        </w:rPr>
        <w:t>Overhead reduction should focus on using frequency-domain correlation of the combination coefficients.</w:t>
      </w:r>
    </w:p>
    <w:p w14:paraId="7A4E7412" w14:textId="77777777" w:rsidR="00B457AD" w:rsidRDefault="00DF7AB4">
      <w:pPr>
        <w:snapToGrid w:val="0"/>
        <w:spacing w:before="120" w:afterLines="50" w:after="120" w:line="240" w:lineRule="auto"/>
        <w:jc w:val="both"/>
        <w:rPr>
          <w:rFonts w:eastAsia="微软雅黑"/>
          <w:b/>
        </w:rPr>
      </w:pPr>
      <w:r>
        <w:rPr>
          <w:rFonts w:eastAsia="微软雅黑" w:hint="eastAsia"/>
          <w:b/>
        </w:rPr>
        <w:t>2.3 Evaluation metrics and assumptions</w:t>
      </w:r>
    </w:p>
    <w:p w14:paraId="2EC7CE47"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 xml:space="preserve">The supported Type II CSI in Rel-15 can provide large performance gain over the conventional Type I CSI. However, the drawback of the Rel-15 Type II CSI is the large CSI overhead which causes huge uplink resource. If the huge uplink resource is consumed by CSI report, the UL data transmission may be harmed or delayed. Therefore, the target of the Type II CSI overhead reduction is to identify schemes which can reduce the CSI overhead without large performance loss. </w:t>
      </w:r>
    </w:p>
    <w:p w14:paraId="42413776"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 xml:space="preserve">To compare schemes with real overhead reduction, we need to consider the consumed overhead in the comparison among different schemes. The CSI overhead depends on various aspects. </w:t>
      </w:r>
    </w:p>
    <w:p w14:paraId="5AF97026" w14:textId="77777777" w:rsidR="00B457AD" w:rsidRDefault="00DF7AB4">
      <w:pPr>
        <w:pStyle w:val="ListParagraph"/>
        <w:numPr>
          <w:ilvl w:val="0"/>
          <w:numId w:val="5"/>
        </w:numPr>
        <w:snapToGrid w:val="0"/>
        <w:spacing w:before="120" w:afterLines="50" w:after="120"/>
        <w:ind w:leftChars="0"/>
        <w:jc w:val="both"/>
        <w:rPr>
          <w:rFonts w:eastAsia="微软雅黑"/>
          <w:szCs w:val="20"/>
        </w:rPr>
      </w:pPr>
      <w:r>
        <w:rPr>
          <w:rFonts w:eastAsia="微软雅黑" w:hint="eastAsia"/>
          <w:szCs w:val="20"/>
        </w:rPr>
        <w:t>One aspect is the codebook/CSI configurations, for example, the number of ports, antenna layout, quantization alphabet and the detailed set-up in each schemes. To compare different schemes, we should use proper simulation assumption of these semi-static parameters of different schemes to guarantee that different schemes are align</w:t>
      </w:r>
      <w:r>
        <w:rPr>
          <w:rFonts w:eastAsia="微软雅黑"/>
          <w:szCs w:val="20"/>
        </w:rPr>
        <w:t>ed</w:t>
      </w:r>
      <w:r>
        <w:rPr>
          <w:rFonts w:eastAsia="微软雅黑" w:hint="eastAsia"/>
          <w:szCs w:val="20"/>
        </w:rPr>
        <w:t xml:space="preserve"> on the level of total overhead. </w:t>
      </w:r>
      <w:r>
        <w:rPr>
          <w:rFonts w:eastAsia="微软雅黑"/>
          <w:szCs w:val="20"/>
        </w:rPr>
        <w:t>Throughput of the schemes under this assumption is one important criterion.</w:t>
      </w:r>
    </w:p>
    <w:p w14:paraId="2E504A2E" w14:textId="77777777" w:rsidR="00B457AD" w:rsidRDefault="00DF7AB4">
      <w:pPr>
        <w:pStyle w:val="ListParagraph"/>
        <w:numPr>
          <w:ilvl w:val="0"/>
          <w:numId w:val="5"/>
        </w:numPr>
        <w:snapToGrid w:val="0"/>
        <w:spacing w:before="120" w:afterLines="50" w:after="120"/>
        <w:ind w:leftChars="0"/>
        <w:jc w:val="both"/>
        <w:rPr>
          <w:rFonts w:eastAsia="微软雅黑"/>
          <w:szCs w:val="20"/>
        </w:rPr>
      </w:pPr>
      <w:r>
        <w:rPr>
          <w:rFonts w:eastAsia="微软雅黑" w:hint="eastAsia"/>
          <w:szCs w:val="20"/>
        </w:rPr>
        <w:t xml:space="preserve">On the other hand, some dynamic CSI values can affect the total overhead. </w:t>
      </w:r>
      <w:r>
        <w:rPr>
          <w:rFonts w:eastAsia="微软雅黑"/>
          <w:szCs w:val="20"/>
        </w:rPr>
        <w:t>T</w:t>
      </w:r>
      <w:r>
        <w:rPr>
          <w:rFonts w:eastAsia="微软雅黑" w:hint="eastAsia"/>
          <w:szCs w:val="20"/>
        </w:rPr>
        <w:t>he overhead of RI=2 is almost twice of RI=1. Then even with a proper simulation assumption, it</w:t>
      </w:r>
      <w:r>
        <w:rPr>
          <w:rFonts w:eastAsia="微软雅黑"/>
          <w:szCs w:val="20"/>
        </w:rPr>
        <w:t>’</w:t>
      </w:r>
      <w:r>
        <w:rPr>
          <w:rFonts w:eastAsia="微软雅黑" w:hint="eastAsia"/>
          <w:szCs w:val="20"/>
        </w:rPr>
        <w:t xml:space="preserve">s hard to evaluate the </w:t>
      </w:r>
      <w:r>
        <w:rPr>
          <w:rFonts w:eastAsia="微软雅黑"/>
          <w:szCs w:val="20"/>
        </w:rPr>
        <w:t>overhead of different schemes just based on the simulation assumptions. For example, the overhead of some schemes can be reduced for higher RI values, but not for lower RI values. For these type of overhead reductions schemes, the overall overhead can still be quite large as most of the UEs in the cell may choose lower RI values. Then to evaluate the overhead reduction of different schemes, the overhead of reported CSI in different schemes need to be included in the criterion. For example, the criterion can include the overhead or ratio between throughput and overhead. For the second one, it indicates the performance the network can achieve per consumed overhead, which implies the efficiency of the overhead bit utilization.</w:t>
      </w:r>
    </w:p>
    <w:p w14:paraId="593AA186" w14:textId="77777777" w:rsidR="00B457AD" w:rsidRDefault="00DF7AB4">
      <w:pPr>
        <w:pStyle w:val="ListParagraph"/>
        <w:snapToGrid w:val="0"/>
        <w:spacing w:before="120" w:afterLines="50" w:after="120"/>
        <w:ind w:leftChars="0" w:left="0" w:firstLine="0"/>
        <w:jc w:val="both"/>
        <w:rPr>
          <w:rFonts w:eastAsia="微软雅黑"/>
          <w:i/>
          <w:szCs w:val="20"/>
        </w:rPr>
      </w:pPr>
      <w:r>
        <w:rPr>
          <w:rFonts w:eastAsia="微软雅黑"/>
          <w:b/>
          <w:i/>
          <w:szCs w:val="20"/>
        </w:rPr>
        <w:lastRenderedPageBreak/>
        <w:t xml:space="preserve">Proposal </w:t>
      </w:r>
      <w:r>
        <w:rPr>
          <w:rFonts w:eastAsia="微软雅黑" w:hint="eastAsia"/>
          <w:b/>
          <w:i/>
          <w:szCs w:val="20"/>
          <w:lang w:val="en-US"/>
        </w:rPr>
        <w:t>3</w:t>
      </w:r>
      <w:r>
        <w:rPr>
          <w:rFonts w:eastAsia="微软雅黑"/>
          <w:b/>
          <w:i/>
          <w:szCs w:val="20"/>
        </w:rPr>
        <w:t>:</w:t>
      </w:r>
      <w:r>
        <w:rPr>
          <w:rFonts w:eastAsia="微软雅黑"/>
          <w:i/>
          <w:szCs w:val="20"/>
        </w:rPr>
        <w:t xml:space="preserve"> Adopt the following </w:t>
      </w:r>
      <w:r>
        <w:rPr>
          <w:rFonts w:eastAsia="微软雅黑" w:hint="eastAsia"/>
          <w:i/>
          <w:szCs w:val="20"/>
        </w:rPr>
        <w:t>metrics</w:t>
      </w:r>
      <w:r>
        <w:rPr>
          <w:rFonts w:eastAsia="微软雅黑"/>
          <w:i/>
          <w:szCs w:val="20"/>
        </w:rPr>
        <w:t xml:space="preserve"> for the evaluation of different overhead reduction schemes</w:t>
      </w:r>
    </w:p>
    <w:p w14:paraId="39537137" w14:textId="77777777" w:rsidR="00B457AD" w:rsidRDefault="00DF7AB4">
      <w:pPr>
        <w:pStyle w:val="ListParagraph"/>
        <w:numPr>
          <w:ilvl w:val="0"/>
          <w:numId w:val="5"/>
        </w:numPr>
        <w:snapToGrid w:val="0"/>
        <w:spacing w:before="120" w:afterLines="50" w:after="120"/>
        <w:ind w:leftChars="0"/>
        <w:jc w:val="both"/>
        <w:rPr>
          <w:rFonts w:eastAsia="微软雅黑"/>
          <w:i/>
          <w:szCs w:val="20"/>
        </w:rPr>
      </w:pPr>
      <w:r>
        <w:rPr>
          <w:rFonts w:eastAsia="微软雅黑"/>
          <w:i/>
          <w:szCs w:val="20"/>
        </w:rPr>
        <w:t>Throughput including average and cell-edge</w:t>
      </w:r>
    </w:p>
    <w:p w14:paraId="512B1529" w14:textId="77777777" w:rsidR="00B457AD" w:rsidRDefault="00DF7AB4">
      <w:pPr>
        <w:pStyle w:val="ListParagraph"/>
        <w:numPr>
          <w:ilvl w:val="0"/>
          <w:numId w:val="5"/>
        </w:numPr>
        <w:snapToGrid w:val="0"/>
        <w:spacing w:before="120" w:afterLines="50" w:after="120"/>
        <w:ind w:leftChars="0"/>
        <w:jc w:val="both"/>
        <w:rPr>
          <w:rFonts w:eastAsia="微软雅黑"/>
          <w:i/>
          <w:szCs w:val="20"/>
        </w:rPr>
      </w:pPr>
      <w:r>
        <w:rPr>
          <w:rFonts w:eastAsia="微软雅黑"/>
          <w:i/>
          <w:szCs w:val="20"/>
        </w:rPr>
        <w:t>Overhead and/or ratio between throughput and overhead.</w:t>
      </w:r>
    </w:p>
    <w:p w14:paraId="7CD798FD" w14:textId="77777777" w:rsidR="00B457AD" w:rsidRDefault="00DF7AB4">
      <w:pPr>
        <w:snapToGrid w:val="0"/>
        <w:spacing w:before="120" w:afterLines="50" w:after="120" w:line="240" w:lineRule="auto"/>
        <w:jc w:val="both"/>
        <w:rPr>
          <w:rFonts w:eastAsia="微软雅黑"/>
          <w:b/>
        </w:rPr>
      </w:pPr>
      <w:r>
        <w:rPr>
          <w:rFonts w:eastAsia="微软雅黑" w:hint="eastAsia"/>
          <w:b/>
        </w:rPr>
        <w:t>2.4 Simulation results</w:t>
      </w:r>
    </w:p>
    <w:p w14:paraId="76150C9B" w14:textId="77777777" w:rsidR="00B457AD" w:rsidRDefault="00DF7AB4">
      <w:pPr>
        <w:pStyle w:val="ListParagraph"/>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We simulate the above schemes and compare them with the conventional Type I/II and the baseline, which is Type II with comb-like CSI reporting band configuration. The detailed schemes are</w:t>
      </w:r>
    </w:p>
    <w:p w14:paraId="20918953" w14:textId="77777777" w:rsidR="00B457AD" w:rsidRDefault="00DF7AB4">
      <w:pPr>
        <w:pStyle w:val="ListParagraph"/>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Type</w:t>
      </w:r>
      <w:r>
        <w:rPr>
          <w:rFonts w:ascii="Times New Roman" w:eastAsia="微软雅黑" w:hAnsi="Times New Roman" w:cs="Times New Roman"/>
          <w:szCs w:val="20"/>
          <w:lang w:val="en-US"/>
        </w:rPr>
        <w:t xml:space="preserve"> I </w:t>
      </w:r>
    </w:p>
    <w:p w14:paraId="0A4E081A" w14:textId="77777777" w:rsidR="00B457AD" w:rsidRDefault="00DF7AB4">
      <w:pPr>
        <w:pStyle w:val="ListParagraph"/>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Type II</w:t>
      </w:r>
    </w:p>
    <w:p w14:paraId="6E9983D7" w14:textId="77777777" w:rsidR="00B457AD" w:rsidRDefault="00DF7AB4">
      <w:pPr>
        <w:pStyle w:val="ListParagraph"/>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Type II-Comb: Type II with comb-like CSI reporting band configuration (a comb-2 pattern is used)</w:t>
      </w:r>
    </w:p>
    <w:p w14:paraId="1263CA5E" w14:textId="6646EFAF" w:rsidR="00B457AD" w:rsidRDefault="00DF7AB4">
      <w:pPr>
        <w:pStyle w:val="ListParagraph"/>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Type II-Diff: Type II with differential coding of the sub-band phases (as proposed in 2.2</w:t>
      </w:r>
      <w:r w:rsidR="008D0A60">
        <w:rPr>
          <w:rFonts w:ascii="Times New Roman" w:eastAsia="微软雅黑" w:hAnsi="Times New Roman" w:cs="Times New Roman"/>
          <w:szCs w:val="20"/>
          <w:lang w:val="en-US"/>
        </w:rPr>
        <w:t xml:space="preserve">, where </w:t>
      </w:r>
      <w:r w:rsidR="00CD3CFE">
        <w:rPr>
          <w:rFonts w:ascii="Times New Roman" w:eastAsia="微软雅黑" w:hAnsi="Times New Roman" w:cs="Times New Roman"/>
          <w:szCs w:val="20"/>
          <w:lang w:val="en-US"/>
        </w:rPr>
        <w:t>the reference subband is the subband in the middle of the bandwidth, and one bit is used for differential coding in other subbands</w:t>
      </w:r>
      <w:r>
        <w:rPr>
          <w:rFonts w:ascii="Times New Roman" w:eastAsia="微软雅黑" w:hAnsi="Times New Roman" w:cs="Times New Roman"/>
          <w:szCs w:val="20"/>
          <w:lang w:val="en-US"/>
        </w:rPr>
        <w:t>)</w:t>
      </w:r>
    </w:p>
    <w:p w14:paraId="195723FC" w14:textId="77777777" w:rsidR="00B457AD" w:rsidRDefault="00DF7AB4">
      <w:pPr>
        <w:pStyle w:val="ListParagraph"/>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Type II-SVD: Type II with SVD based operation on the sub-band coefficients (as proposed in 2.2)</w:t>
      </w:r>
    </w:p>
    <w:p w14:paraId="3F0C37FD" w14:textId="0D79A066" w:rsidR="00B457AD" w:rsidRDefault="00DF7AB4">
      <w:pPr>
        <w:snapToGrid w:val="0"/>
        <w:spacing w:before="120" w:afterLines="50" w:after="120"/>
        <w:jc w:val="both"/>
        <w:rPr>
          <w:rFonts w:eastAsia="微软雅黑"/>
          <w:sz w:val="20"/>
          <w:szCs w:val="20"/>
        </w:rPr>
      </w:pPr>
      <w:r>
        <w:rPr>
          <w:rFonts w:eastAsia="微软雅黑" w:hint="eastAsia"/>
          <w:sz w:val="20"/>
          <w:szCs w:val="20"/>
        </w:rPr>
        <w:t xml:space="preserve">The simulation assumptions are </w:t>
      </w:r>
      <w:r>
        <w:rPr>
          <w:rFonts w:eastAsia="微软雅黑"/>
          <w:sz w:val="20"/>
          <w:szCs w:val="20"/>
        </w:rPr>
        <w:t>listed</w:t>
      </w:r>
      <w:r>
        <w:rPr>
          <w:rFonts w:eastAsia="微软雅黑" w:hint="eastAsia"/>
          <w:sz w:val="20"/>
          <w:szCs w:val="20"/>
        </w:rPr>
        <w:t xml:space="preserve"> in Appendix.</w:t>
      </w:r>
      <w:r w:rsidR="00302CCC">
        <w:rPr>
          <w:rFonts w:eastAsia="微软雅黑"/>
          <w:sz w:val="20"/>
          <w:szCs w:val="20"/>
        </w:rPr>
        <w:t xml:space="preserve"> In this simulation, the total number of gNB layers is 4 , the number of UE Rx antennas is 2, and the maximum rank for each UE is 2.</w:t>
      </w:r>
    </w:p>
    <w:p w14:paraId="52CCBCA6" w14:textId="77777777" w:rsidR="00B457AD" w:rsidRDefault="00DF7AB4">
      <w:pPr>
        <w:snapToGrid w:val="0"/>
        <w:spacing w:before="120" w:afterLines="50" w:after="120"/>
        <w:jc w:val="both"/>
        <w:rPr>
          <w:rFonts w:eastAsia="微软雅黑"/>
          <w:sz w:val="20"/>
          <w:szCs w:val="20"/>
        </w:rPr>
      </w:pPr>
      <w:r>
        <w:rPr>
          <w:rFonts w:eastAsia="微软雅黑" w:hint="eastAsia"/>
          <w:sz w:val="20"/>
          <w:szCs w:val="20"/>
        </w:rPr>
        <w:t xml:space="preserve">The </w:t>
      </w:r>
      <w:r>
        <w:rPr>
          <w:rFonts w:eastAsia="微软雅黑"/>
          <w:sz w:val="20"/>
          <w:szCs w:val="20"/>
        </w:rPr>
        <w:t>throughput performance of the above schemes are given in Table 2.1.</w:t>
      </w:r>
    </w:p>
    <w:p w14:paraId="136E210C" w14:textId="7D81DCAF" w:rsidR="00B457AD" w:rsidRDefault="00DF7AB4">
      <w:pPr>
        <w:snapToGrid w:val="0"/>
        <w:spacing w:before="120" w:afterLines="50" w:after="120"/>
        <w:jc w:val="center"/>
        <w:rPr>
          <w:rFonts w:eastAsia="微软雅黑"/>
          <w:sz w:val="20"/>
          <w:szCs w:val="20"/>
        </w:rPr>
      </w:pPr>
      <w:r>
        <w:rPr>
          <w:rFonts w:eastAsia="微软雅黑"/>
          <w:sz w:val="20"/>
          <w:szCs w:val="20"/>
        </w:rPr>
        <w:t>Table 2.1 Throughput performance</w:t>
      </w:r>
      <w:r w:rsidR="00211503">
        <w:rPr>
          <w:rFonts w:eastAsia="微软雅黑"/>
          <w:sz w:val="20"/>
          <w:szCs w:val="20"/>
        </w:rPr>
        <w:t xml:space="preserve"> and </w:t>
      </w:r>
      <w:r w:rsidR="001F5B92">
        <w:rPr>
          <w:rFonts w:eastAsia="微软雅黑"/>
          <w:sz w:val="20"/>
          <w:szCs w:val="20"/>
        </w:rPr>
        <w:t>aver</w:t>
      </w:r>
      <w:r w:rsidR="00C84E67">
        <w:rPr>
          <w:rFonts w:eastAsia="微软雅黑"/>
          <w:sz w:val="20"/>
          <w:szCs w:val="20"/>
        </w:rPr>
        <w:t>a</w:t>
      </w:r>
      <w:r w:rsidR="001F5B92">
        <w:rPr>
          <w:rFonts w:eastAsia="微软雅黑"/>
          <w:sz w:val="20"/>
          <w:szCs w:val="20"/>
        </w:rPr>
        <w:t xml:space="preserve">ge </w:t>
      </w:r>
      <w:r w:rsidR="00211503">
        <w:rPr>
          <w:rFonts w:eastAsia="微软雅黑"/>
          <w:sz w:val="20"/>
          <w:szCs w:val="20"/>
        </w:rPr>
        <w:t>overhead</w:t>
      </w:r>
    </w:p>
    <w:tbl>
      <w:tblPr>
        <w:tblStyle w:val="TableGrid"/>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276"/>
        <w:gridCol w:w="1275"/>
        <w:gridCol w:w="993"/>
        <w:gridCol w:w="1417"/>
      </w:tblGrid>
      <w:tr w:rsidR="001253BD" w14:paraId="1CDBC716" w14:textId="3B2F9F02" w:rsidTr="00B8607E">
        <w:trPr>
          <w:jc w:val="center"/>
        </w:trPr>
        <w:tc>
          <w:tcPr>
            <w:tcW w:w="1413" w:type="dxa"/>
          </w:tcPr>
          <w:p w14:paraId="02F67CB0" w14:textId="77777777" w:rsidR="001253BD" w:rsidRDefault="001253BD">
            <w:pPr>
              <w:pStyle w:val="NoSpacing"/>
              <w:rPr>
                <w:rFonts w:eastAsia="微软雅黑"/>
                <w:iCs/>
                <w:sz w:val="20"/>
                <w:szCs w:val="20"/>
              </w:rPr>
            </w:pPr>
          </w:p>
        </w:tc>
        <w:tc>
          <w:tcPr>
            <w:tcW w:w="1134" w:type="dxa"/>
          </w:tcPr>
          <w:p w14:paraId="451A2FAC" w14:textId="77777777" w:rsidR="001253BD" w:rsidRDefault="001253BD">
            <w:pPr>
              <w:pStyle w:val="NoSpacing"/>
              <w:rPr>
                <w:rFonts w:eastAsia="微软雅黑"/>
                <w:iCs/>
                <w:sz w:val="20"/>
                <w:szCs w:val="20"/>
              </w:rPr>
            </w:pPr>
            <w:r>
              <w:rPr>
                <w:rFonts w:eastAsia="微软雅黑" w:hint="eastAsia"/>
                <w:iCs/>
                <w:sz w:val="20"/>
                <w:szCs w:val="20"/>
              </w:rPr>
              <w:t xml:space="preserve">Mean UE </w:t>
            </w:r>
            <w:r>
              <w:rPr>
                <w:rFonts w:eastAsia="微软雅黑"/>
                <w:iCs/>
                <w:sz w:val="20"/>
                <w:szCs w:val="20"/>
              </w:rPr>
              <w:t>throughput</w:t>
            </w:r>
            <w:r>
              <w:rPr>
                <w:rFonts w:eastAsia="微软雅黑" w:hint="eastAsia"/>
                <w:iCs/>
                <w:sz w:val="20"/>
                <w:szCs w:val="20"/>
              </w:rPr>
              <w:t xml:space="preserve"> </w:t>
            </w:r>
            <w:r>
              <w:rPr>
                <w:rFonts w:eastAsia="微软雅黑" w:hint="eastAsia"/>
                <w:iCs/>
                <w:sz w:val="20"/>
                <w:szCs w:val="20"/>
              </w:rPr>
              <w:t>（</w:t>
            </w:r>
            <w:r>
              <w:rPr>
                <w:rFonts w:eastAsia="微软雅黑" w:hint="eastAsia"/>
                <w:iCs/>
                <w:sz w:val="20"/>
                <w:szCs w:val="20"/>
              </w:rPr>
              <w:t>Mbps</w:t>
            </w:r>
            <w:r>
              <w:rPr>
                <w:rFonts w:eastAsia="微软雅黑" w:hint="eastAsia"/>
                <w:iCs/>
                <w:sz w:val="20"/>
                <w:szCs w:val="20"/>
              </w:rPr>
              <w:t>）</w:t>
            </w:r>
          </w:p>
        </w:tc>
        <w:tc>
          <w:tcPr>
            <w:tcW w:w="1134" w:type="dxa"/>
          </w:tcPr>
          <w:p w14:paraId="18A3BB1F" w14:textId="77777777" w:rsidR="001253BD" w:rsidRDefault="001253BD">
            <w:pPr>
              <w:pStyle w:val="NoSpacing"/>
              <w:rPr>
                <w:rFonts w:eastAsia="微软雅黑"/>
                <w:iCs/>
                <w:sz w:val="20"/>
                <w:szCs w:val="20"/>
              </w:rPr>
            </w:pPr>
            <w:r>
              <w:rPr>
                <w:rFonts w:eastAsia="微软雅黑" w:hint="eastAsia"/>
                <w:iCs/>
                <w:sz w:val="20"/>
                <w:szCs w:val="20"/>
              </w:rPr>
              <w:t xml:space="preserve">5% tail UE </w:t>
            </w:r>
            <w:r>
              <w:rPr>
                <w:rFonts w:eastAsia="微软雅黑"/>
                <w:iCs/>
                <w:sz w:val="20"/>
                <w:szCs w:val="20"/>
              </w:rPr>
              <w:t>throughput</w:t>
            </w:r>
            <w:r>
              <w:rPr>
                <w:rFonts w:eastAsia="微软雅黑" w:hint="eastAsia"/>
                <w:iCs/>
                <w:sz w:val="20"/>
                <w:szCs w:val="20"/>
              </w:rPr>
              <w:t>（</w:t>
            </w:r>
            <w:r>
              <w:rPr>
                <w:rFonts w:eastAsia="微软雅黑" w:hint="eastAsia"/>
                <w:iCs/>
                <w:sz w:val="20"/>
                <w:szCs w:val="20"/>
              </w:rPr>
              <w:t>Mbps</w:t>
            </w:r>
            <w:r>
              <w:rPr>
                <w:rFonts w:eastAsia="微软雅黑" w:hint="eastAsia"/>
                <w:iCs/>
                <w:sz w:val="20"/>
                <w:szCs w:val="20"/>
              </w:rPr>
              <w:t>）</w:t>
            </w:r>
          </w:p>
        </w:tc>
        <w:tc>
          <w:tcPr>
            <w:tcW w:w="1276" w:type="dxa"/>
          </w:tcPr>
          <w:p w14:paraId="5C4E5260" w14:textId="77777777" w:rsidR="001253BD" w:rsidRDefault="001253BD">
            <w:pPr>
              <w:pStyle w:val="NoSpacing"/>
              <w:rPr>
                <w:rFonts w:eastAsia="微软雅黑"/>
                <w:iCs/>
                <w:sz w:val="20"/>
                <w:szCs w:val="20"/>
              </w:rPr>
            </w:pPr>
            <w:r>
              <w:rPr>
                <w:rFonts w:eastAsia="微软雅黑" w:hint="eastAsia"/>
                <w:iCs/>
                <w:sz w:val="20"/>
                <w:szCs w:val="20"/>
              </w:rPr>
              <w:t xml:space="preserve">50% tail UE </w:t>
            </w:r>
            <w:r>
              <w:rPr>
                <w:rFonts w:eastAsia="微软雅黑"/>
                <w:iCs/>
                <w:sz w:val="20"/>
                <w:szCs w:val="20"/>
              </w:rPr>
              <w:t>throughput</w:t>
            </w:r>
            <w:r>
              <w:rPr>
                <w:rFonts w:eastAsia="微软雅黑" w:hint="eastAsia"/>
                <w:iCs/>
                <w:sz w:val="20"/>
                <w:szCs w:val="20"/>
              </w:rPr>
              <w:t>（</w:t>
            </w:r>
            <w:r>
              <w:rPr>
                <w:rFonts w:eastAsia="微软雅黑" w:hint="eastAsia"/>
                <w:iCs/>
                <w:sz w:val="20"/>
                <w:szCs w:val="20"/>
              </w:rPr>
              <w:t>Mbps</w:t>
            </w:r>
            <w:r>
              <w:rPr>
                <w:rFonts w:eastAsia="微软雅黑" w:hint="eastAsia"/>
                <w:iCs/>
                <w:sz w:val="20"/>
                <w:szCs w:val="20"/>
              </w:rPr>
              <w:t>）</w:t>
            </w:r>
          </w:p>
        </w:tc>
        <w:tc>
          <w:tcPr>
            <w:tcW w:w="1275" w:type="dxa"/>
          </w:tcPr>
          <w:p w14:paraId="43BB1CF8" w14:textId="77777777" w:rsidR="001253BD" w:rsidRDefault="001253BD">
            <w:pPr>
              <w:pStyle w:val="NoSpacing"/>
              <w:rPr>
                <w:rFonts w:eastAsia="微软雅黑"/>
                <w:iCs/>
                <w:sz w:val="20"/>
                <w:szCs w:val="20"/>
              </w:rPr>
            </w:pPr>
            <w:r>
              <w:rPr>
                <w:rFonts w:eastAsia="微软雅黑" w:hint="eastAsia"/>
                <w:iCs/>
                <w:sz w:val="20"/>
                <w:szCs w:val="20"/>
              </w:rPr>
              <w:t xml:space="preserve">95% tail UE </w:t>
            </w:r>
            <w:r>
              <w:rPr>
                <w:rFonts w:eastAsia="微软雅黑"/>
                <w:iCs/>
                <w:sz w:val="20"/>
                <w:szCs w:val="20"/>
              </w:rPr>
              <w:t>throughput</w:t>
            </w:r>
            <w:r>
              <w:rPr>
                <w:rFonts w:eastAsia="微软雅黑" w:hint="eastAsia"/>
                <w:iCs/>
                <w:sz w:val="20"/>
                <w:szCs w:val="20"/>
              </w:rPr>
              <w:t>（</w:t>
            </w:r>
            <w:r>
              <w:rPr>
                <w:rFonts w:eastAsia="微软雅黑" w:hint="eastAsia"/>
                <w:iCs/>
                <w:sz w:val="20"/>
                <w:szCs w:val="20"/>
              </w:rPr>
              <w:t>Mbps</w:t>
            </w:r>
            <w:r>
              <w:rPr>
                <w:rFonts w:eastAsia="微软雅黑" w:hint="eastAsia"/>
                <w:iCs/>
                <w:sz w:val="20"/>
                <w:szCs w:val="20"/>
              </w:rPr>
              <w:t>）</w:t>
            </w:r>
          </w:p>
        </w:tc>
        <w:tc>
          <w:tcPr>
            <w:tcW w:w="993" w:type="dxa"/>
          </w:tcPr>
          <w:p w14:paraId="7C5325BD" w14:textId="77777777" w:rsidR="001253BD" w:rsidRDefault="001253BD">
            <w:pPr>
              <w:pStyle w:val="NoSpacing"/>
              <w:rPr>
                <w:rFonts w:eastAsia="微软雅黑"/>
                <w:iCs/>
                <w:sz w:val="20"/>
                <w:szCs w:val="20"/>
              </w:rPr>
            </w:pPr>
            <w:r>
              <w:rPr>
                <w:rFonts w:eastAsia="微软雅黑" w:hint="eastAsia"/>
                <w:iCs/>
                <w:sz w:val="20"/>
                <w:szCs w:val="20"/>
              </w:rPr>
              <w:t>RU</w:t>
            </w:r>
          </w:p>
        </w:tc>
        <w:tc>
          <w:tcPr>
            <w:tcW w:w="1417" w:type="dxa"/>
          </w:tcPr>
          <w:p w14:paraId="2CF3D1E4" w14:textId="7AA95782" w:rsidR="001253BD" w:rsidRDefault="001253BD">
            <w:pPr>
              <w:pStyle w:val="NoSpacing"/>
              <w:rPr>
                <w:rFonts w:eastAsia="微软雅黑"/>
                <w:iCs/>
                <w:sz w:val="20"/>
                <w:szCs w:val="20"/>
              </w:rPr>
            </w:pPr>
            <w:r>
              <w:rPr>
                <w:rFonts w:eastAsia="微软雅黑" w:hint="eastAsia"/>
                <w:iCs/>
                <w:sz w:val="20"/>
                <w:szCs w:val="20"/>
              </w:rPr>
              <w:t>Reduced overhead</w:t>
            </w:r>
            <w:r>
              <w:rPr>
                <w:rFonts w:eastAsia="微软雅黑"/>
                <w:iCs/>
                <w:sz w:val="20"/>
                <w:szCs w:val="20"/>
              </w:rPr>
              <w:t xml:space="preserve"> compared with Type II</w:t>
            </w:r>
          </w:p>
        </w:tc>
      </w:tr>
      <w:tr w:rsidR="001253BD" w14:paraId="1B21FAB6" w14:textId="20C7DA38" w:rsidTr="00B8607E">
        <w:trPr>
          <w:jc w:val="center"/>
        </w:trPr>
        <w:tc>
          <w:tcPr>
            <w:tcW w:w="1413" w:type="dxa"/>
          </w:tcPr>
          <w:p w14:paraId="3671618C" w14:textId="77777777" w:rsidR="001253BD" w:rsidRDefault="001253BD">
            <w:pPr>
              <w:pStyle w:val="NoSpacing"/>
              <w:rPr>
                <w:rFonts w:eastAsia="微软雅黑"/>
                <w:iCs/>
                <w:sz w:val="20"/>
                <w:szCs w:val="20"/>
              </w:rPr>
            </w:pPr>
            <w:r>
              <w:rPr>
                <w:rFonts w:eastAsia="微软雅黑" w:hint="eastAsia"/>
                <w:iCs/>
                <w:sz w:val="20"/>
                <w:szCs w:val="20"/>
              </w:rPr>
              <w:t xml:space="preserve">Type I </w:t>
            </w:r>
          </w:p>
        </w:tc>
        <w:tc>
          <w:tcPr>
            <w:tcW w:w="1134" w:type="dxa"/>
          </w:tcPr>
          <w:p w14:paraId="36B8076F" w14:textId="77777777" w:rsidR="001253BD" w:rsidRDefault="001253BD">
            <w:pPr>
              <w:pStyle w:val="NoSpacing"/>
              <w:rPr>
                <w:rFonts w:eastAsia="微软雅黑"/>
                <w:iCs/>
                <w:sz w:val="20"/>
                <w:szCs w:val="20"/>
              </w:rPr>
            </w:pPr>
            <w:r>
              <w:rPr>
                <w:rFonts w:eastAsia="微软雅黑" w:hint="eastAsia"/>
                <w:iCs/>
                <w:sz w:val="20"/>
                <w:szCs w:val="20"/>
              </w:rPr>
              <w:t>22.73</w:t>
            </w:r>
          </w:p>
          <w:p w14:paraId="4D02036B" w14:textId="77777777" w:rsidR="001253BD" w:rsidRDefault="001253BD">
            <w:pPr>
              <w:pStyle w:val="NoSpacing"/>
              <w:rPr>
                <w:rFonts w:eastAsia="微软雅黑"/>
                <w:iCs/>
                <w:sz w:val="20"/>
                <w:szCs w:val="20"/>
              </w:rPr>
            </w:pPr>
            <w:r>
              <w:rPr>
                <w:rFonts w:eastAsia="微软雅黑" w:hint="eastAsia"/>
                <w:iCs/>
                <w:sz w:val="20"/>
                <w:szCs w:val="20"/>
              </w:rPr>
              <w:t>(0%)</w:t>
            </w:r>
          </w:p>
        </w:tc>
        <w:tc>
          <w:tcPr>
            <w:tcW w:w="1134" w:type="dxa"/>
          </w:tcPr>
          <w:p w14:paraId="6149EE65" w14:textId="77777777" w:rsidR="001253BD" w:rsidRDefault="001253BD">
            <w:pPr>
              <w:pStyle w:val="NoSpacing"/>
              <w:rPr>
                <w:rFonts w:eastAsia="微软雅黑"/>
                <w:iCs/>
                <w:sz w:val="20"/>
                <w:szCs w:val="20"/>
              </w:rPr>
            </w:pPr>
            <w:r>
              <w:rPr>
                <w:rFonts w:eastAsia="微软雅黑" w:hint="eastAsia"/>
                <w:iCs/>
                <w:sz w:val="20"/>
                <w:szCs w:val="20"/>
              </w:rPr>
              <w:t>3.35</w:t>
            </w:r>
          </w:p>
          <w:p w14:paraId="6C4B8051" w14:textId="77777777" w:rsidR="001253BD" w:rsidRDefault="001253BD">
            <w:pPr>
              <w:pStyle w:val="NoSpacing"/>
              <w:rPr>
                <w:rFonts w:eastAsia="微软雅黑"/>
                <w:iCs/>
                <w:sz w:val="20"/>
                <w:szCs w:val="20"/>
              </w:rPr>
            </w:pPr>
            <w:r>
              <w:rPr>
                <w:rFonts w:eastAsia="微软雅黑" w:hint="eastAsia"/>
                <w:iCs/>
                <w:sz w:val="20"/>
                <w:szCs w:val="20"/>
              </w:rPr>
              <w:t>(0%)</w:t>
            </w:r>
          </w:p>
        </w:tc>
        <w:tc>
          <w:tcPr>
            <w:tcW w:w="1276" w:type="dxa"/>
          </w:tcPr>
          <w:p w14:paraId="27868549" w14:textId="77777777" w:rsidR="001253BD" w:rsidRDefault="001253BD">
            <w:pPr>
              <w:pStyle w:val="NoSpacing"/>
              <w:rPr>
                <w:rFonts w:eastAsia="微软雅黑"/>
                <w:iCs/>
                <w:sz w:val="20"/>
                <w:szCs w:val="20"/>
              </w:rPr>
            </w:pPr>
            <w:r>
              <w:rPr>
                <w:rFonts w:eastAsia="微软雅黑" w:hint="eastAsia"/>
                <w:iCs/>
                <w:sz w:val="20"/>
                <w:szCs w:val="20"/>
              </w:rPr>
              <w:t>19.50</w:t>
            </w:r>
          </w:p>
          <w:p w14:paraId="6EB3FDAF" w14:textId="77777777" w:rsidR="001253BD" w:rsidRDefault="001253BD">
            <w:pPr>
              <w:pStyle w:val="NoSpacing"/>
              <w:rPr>
                <w:rFonts w:eastAsia="微软雅黑"/>
                <w:iCs/>
                <w:sz w:val="20"/>
                <w:szCs w:val="20"/>
              </w:rPr>
            </w:pPr>
            <w:r>
              <w:rPr>
                <w:rFonts w:eastAsia="微软雅黑" w:hint="eastAsia"/>
                <w:iCs/>
                <w:sz w:val="20"/>
                <w:szCs w:val="20"/>
              </w:rPr>
              <w:t>(0%)</w:t>
            </w:r>
          </w:p>
        </w:tc>
        <w:tc>
          <w:tcPr>
            <w:tcW w:w="1275" w:type="dxa"/>
          </w:tcPr>
          <w:p w14:paraId="0A181D4F" w14:textId="77777777" w:rsidR="001253BD" w:rsidRDefault="001253BD">
            <w:pPr>
              <w:pStyle w:val="NoSpacing"/>
              <w:rPr>
                <w:rFonts w:eastAsia="微软雅黑"/>
                <w:iCs/>
                <w:sz w:val="20"/>
                <w:szCs w:val="20"/>
              </w:rPr>
            </w:pPr>
            <w:r>
              <w:rPr>
                <w:rFonts w:eastAsia="微软雅黑" w:hint="eastAsia"/>
                <w:iCs/>
                <w:sz w:val="20"/>
                <w:szCs w:val="20"/>
              </w:rPr>
              <w:t>53.33</w:t>
            </w:r>
          </w:p>
          <w:p w14:paraId="5A29278E" w14:textId="77777777" w:rsidR="001253BD" w:rsidRDefault="001253BD">
            <w:pPr>
              <w:pStyle w:val="NoSpacing"/>
              <w:rPr>
                <w:rFonts w:eastAsia="微软雅黑"/>
                <w:iCs/>
                <w:sz w:val="20"/>
                <w:szCs w:val="20"/>
              </w:rPr>
            </w:pPr>
            <w:r>
              <w:rPr>
                <w:rFonts w:eastAsia="微软雅黑" w:hint="eastAsia"/>
                <w:iCs/>
                <w:sz w:val="20"/>
                <w:szCs w:val="20"/>
              </w:rPr>
              <w:t>(0%)</w:t>
            </w:r>
          </w:p>
        </w:tc>
        <w:tc>
          <w:tcPr>
            <w:tcW w:w="993" w:type="dxa"/>
          </w:tcPr>
          <w:p w14:paraId="77DF53D7" w14:textId="77777777" w:rsidR="001253BD" w:rsidRDefault="001253BD">
            <w:pPr>
              <w:pStyle w:val="NoSpacing"/>
              <w:rPr>
                <w:rFonts w:eastAsia="微软雅黑"/>
                <w:iCs/>
                <w:sz w:val="20"/>
                <w:szCs w:val="20"/>
              </w:rPr>
            </w:pPr>
            <w:r>
              <w:rPr>
                <w:rFonts w:eastAsia="微软雅黑" w:hint="eastAsia"/>
                <w:iCs/>
                <w:sz w:val="20"/>
                <w:szCs w:val="20"/>
              </w:rPr>
              <w:t>0.830</w:t>
            </w:r>
          </w:p>
          <w:p w14:paraId="4DA05677" w14:textId="77777777" w:rsidR="001253BD" w:rsidRDefault="001253BD">
            <w:pPr>
              <w:pStyle w:val="NoSpacing"/>
              <w:rPr>
                <w:rFonts w:eastAsia="微软雅黑"/>
                <w:iCs/>
                <w:sz w:val="20"/>
                <w:szCs w:val="20"/>
              </w:rPr>
            </w:pPr>
            <w:r>
              <w:rPr>
                <w:rFonts w:eastAsia="微软雅黑" w:hint="eastAsia"/>
                <w:iCs/>
                <w:sz w:val="20"/>
                <w:szCs w:val="20"/>
              </w:rPr>
              <w:t>(0%)</w:t>
            </w:r>
          </w:p>
        </w:tc>
        <w:tc>
          <w:tcPr>
            <w:tcW w:w="1417" w:type="dxa"/>
          </w:tcPr>
          <w:p w14:paraId="2E0B4746" w14:textId="00EFCC4F" w:rsidR="001253BD" w:rsidRDefault="001253BD">
            <w:pPr>
              <w:pStyle w:val="NoSpacing"/>
              <w:rPr>
                <w:rFonts w:eastAsia="微软雅黑"/>
                <w:iCs/>
                <w:sz w:val="20"/>
                <w:szCs w:val="20"/>
              </w:rPr>
            </w:pPr>
            <w:r>
              <w:rPr>
                <w:rFonts w:eastAsia="微软雅黑" w:hint="eastAsia"/>
                <w:iCs/>
                <w:sz w:val="20"/>
                <w:szCs w:val="20"/>
              </w:rPr>
              <w:t>-</w:t>
            </w:r>
            <w:r w:rsidR="00922AED">
              <w:rPr>
                <w:rFonts w:eastAsia="微软雅黑"/>
                <w:iCs/>
                <w:sz w:val="20"/>
                <w:szCs w:val="20"/>
              </w:rPr>
              <w:t>-</w:t>
            </w:r>
          </w:p>
        </w:tc>
      </w:tr>
      <w:tr w:rsidR="001253BD" w14:paraId="266BA153" w14:textId="01BA135D" w:rsidTr="00B8607E">
        <w:trPr>
          <w:jc w:val="center"/>
        </w:trPr>
        <w:tc>
          <w:tcPr>
            <w:tcW w:w="1413" w:type="dxa"/>
          </w:tcPr>
          <w:p w14:paraId="019BC5AD" w14:textId="77777777" w:rsidR="001253BD" w:rsidRDefault="001253BD">
            <w:pPr>
              <w:pStyle w:val="NoSpacing"/>
              <w:rPr>
                <w:rFonts w:eastAsia="微软雅黑"/>
                <w:iCs/>
                <w:sz w:val="20"/>
                <w:szCs w:val="20"/>
              </w:rPr>
            </w:pPr>
            <w:r>
              <w:rPr>
                <w:rFonts w:eastAsia="微软雅黑" w:hint="eastAsia"/>
                <w:iCs/>
                <w:sz w:val="20"/>
                <w:szCs w:val="20"/>
              </w:rPr>
              <w:t>Type II</w:t>
            </w:r>
          </w:p>
        </w:tc>
        <w:tc>
          <w:tcPr>
            <w:tcW w:w="1134" w:type="dxa"/>
          </w:tcPr>
          <w:p w14:paraId="4FFB421B" w14:textId="77777777" w:rsidR="001253BD" w:rsidRDefault="001253BD">
            <w:pPr>
              <w:pStyle w:val="NoSpacing"/>
              <w:rPr>
                <w:rFonts w:eastAsia="微软雅黑"/>
                <w:iCs/>
                <w:sz w:val="20"/>
                <w:szCs w:val="20"/>
              </w:rPr>
            </w:pPr>
            <w:r>
              <w:rPr>
                <w:rFonts w:eastAsia="微软雅黑" w:hint="eastAsia"/>
                <w:iCs/>
                <w:sz w:val="20"/>
                <w:szCs w:val="20"/>
              </w:rPr>
              <w:t>27.87</w:t>
            </w:r>
          </w:p>
          <w:p w14:paraId="7523F1DA" w14:textId="77777777" w:rsidR="001253BD" w:rsidRDefault="001253BD">
            <w:pPr>
              <w:pStyle w:val="NoSpacing"/>
              <w:rPr>
                <w:rFonts w:eastAsia="微软雅黑"/>
                <w:iCs/>
                <w:sz w:val="20"/>
                <w:szCs w:val="20"/>
              </w:rPr>
            </w:pPr>
            <w:r>
              <w:rPr>
                <w:rFonts w:eastAsia="微软雅黑" w:hint="eastAsia"/>
                <w:iCs/>
                <w:sz w:val="20"/>
                <w:szCs w:val="20"/>
              </w:rPr>
              <w:t>(22.62%)</w:t>
            </w:r>
          </w:p>
        </w:tc>
        <w:tc>
          <w:tcPr>
            <w:tcW w:w="1134" w:type="dxa"/>
          </w:tcPr>
          <w:p w14:paraId="7F024103" w14:textId="77777777" w:rsidR="001253BD" w:rsidRDefault="001253BD">
            <w:pPr>
              <w:pStyle w:val="NoSpacing"/>
              <w:rPr>
                <w:rFonts w:eastAsia="微软雅黑"/>
                <w:iCs/>
                <w:sz w:val="20"/>
                <w:szCs w:val="20"/>
              </w:rPr>
            </w:pPr>
            <w:r>
              <w:rPr>
                <w:rFonts w:eastAsia="微软雅黑" w:hint="eastAsia"/>
                <w:iCs/>
                <w:sz w:val="20"/>
                <w:szCs w:val="20"/>
              </w:rPr>
              <w:t>6.51</w:t>
            </w:r>
          </w:p>
          <w:p w14:paraId="14850402" w14:textId="77777777" w:rsidR="001253BD" w:rsidRDefault="001253BD">
            <w:pPr>
              <w:pStyle w:val="NoSpacing"/>
              <w:rPr>
                <w:rFonts w:eastAsia="微软雅黑"/>
                <w:iCs/>
                <w:sz w:val="20"/>
                <w:szCs w:val="20"/>
              </w:rPr>
            </w:pPr>
            <w:r>
              <w:rPr>
                <w:rFonts w:eastAsia="微软雅黑" w:hint="eastAsia"/>
                <w:iCs/>
                <w:sz w:val="20"/>
                <w:szCs w:val="20"/>
              </w:rPr>
              <w:t>(93.93%)</w:t>
            </w:r>
          </w:p>
        </w:tc>
        <w:tc>
          <w:tcPr>
            <w:tcW w:w="1276" w:type="dxa"/>
          </w:tcPr>
          <w:p w14:paraId="4DF77434" w14:textId="77777777" w:rsidR="001253BD" w:rsidRDefault="001253BD">
            <w:pPr>
              <w:pStyle w:val="NoSpacing"/>
              <w:rPr>
                <w:rFonts w:eastAsia="微软雅黑"/>
                <w:iCs/>
                <w:sz w:val="20"/>
                <w:szCs w:val="20"/>
              </w:rPr>
            </w:pPr>
            <w:r>
              <w:rPr>
                <w:rFonts w:eastAsia="微软雅黑" w:hint="eastAsia"/>
                <w:iCs/>
                <w:sz w:val="20"/>
                <w:szCs w:val="20"/>
              </w:rPr>
              <w:t>26.22</w:t>
            </w:r>
          </w:p>
          <w:p w14:paraId="2931C090" w14:textId="77777777" w:rsidR="001253BD" w:rsidRDefault="001253BD">
            <w:pPr>
              <w:pStyle w:val="NoSpacing"/>
              <w:rPr>
                <w:rFonts w:eastAsia="微软雅黑"/>
                <w:iCs/>
                <w:sz w:val="20"/>
                <w:szCs w:val="20"/>
              </w:rPr>
            </w:pPr>
            <w:r>
              <w:rPr>
                <w:rFonts w:eastAsia="微软雅黑" w:hint="eastAsia"/>
                <w:iCs/>
                <w:sz w:val="20"/>
                <w:szCs w:val="20"/>
              </w:rPr>
              <w:t>(34.48%)</w:t>
            </w:r>
          </w:p>
        </w:tc>
        <w:tc>
          <w:tcPr>
            <w:tcW w:w="1275" w:type="dxa"/>
          </w:tcPr>
          <w:p w14:paraId="74B52DB3" w14:textId="77777777" w:rsidR="001253BD" w:rsidRDefault="001253BD">
            <w:pPr>
              <w:pStyle w:val="NoSpacing"/>
              <w:rPr>
                <w:rFonts w:eastAsia="微软雅黑"/>
                <w:iCs/>
                <w:sz w:val="20"/>
                <w:szCs w:val="20"/>
              </w:rPr>
            </w:pPr>
            <w:r>
              <w:rPr>
                <w:rFonts w:eastAsia="微软雅黑" w:hint="eastAsia"/>
                <w:iCs/>
                <w:sz w:val="20"/>
                <w:szCs w:val="20"/>
              </w:rPr>
              <w:t>56.26</w:t>
            </w:r>
          </w:p>
          <w:p w14:paraId="65A7209D" w14:textId="77777777" w:rsidR="001253BD" w:rsidRDefault="001253BD">
            <w:pPr>
              <w:pStyle w:val="NoSpacing"/>
              <w:rPr>
                <w:rFonts w:eastAsia="微软雅黑"/>
                <w:iCs/>
                <w:sz w:val="20"/>
                <w:szCs w:val="20"/>
              </w:rPr>
            </w:pPr>
            <w:r>
              <w:rPr>
                <w:rFonts w:eastAsia="微软雅黑" w:hint="eastAsia"/>
                <w:iCs/>
                <w:sz w:val="20"/>
                <w:szCs w:val="20"/>
              </w:rPr>
              <w:t>(5.48%)</w:t>
            </w:r>
          </w:p>
        </w:tc>
        <w:tc>
          <w:tcPr>
            <w:tcW w:w="993" w:type="dxa"/>
          </w:tcPr>
          <w:p w14:paraId="579B1926" w14:textId="77777777" w:rsidR="001253BD" w:rsidRDefault="001253BD">
            <w:pPr>
              <w:pStyle w:val="NoSpacing"/>
              <w:rPr>
                <w:rFonts w:eastAsia="微软雅黑"/>
                <w:iCs/>
                <w:sz w:val="20"/>
                <w:szCs w:val="20"/>
              </w:rPr>
            </w:pPr>
            <w:r>
              <w:rPr>
                <w:rFonts w:eastAsia="微软雅黑" w:hint="eastAsia"/>
                <w:iCs/>
                <w:sz w:val="20"/>
                <w:szCs w:val="20"/>
              </w:rPr>
              <w:t>0.75</w:t>
            </w:r>
          </w:p>
          <w:p w14:paraId="7420B924" w14:textId="77777777" w:rsidR="001253BD" w:rsidRDefault="001253BD">
            <w:pPr>
              <w:pStyle w:val="NoSpacing"/>
              <w:rPr>
                <w:rFonts w:eastAsia="微软雅黑"/>
                <w:iCs/>
                <w:sz w:val="20"/>
                <w:szCs w:val="20"/>
              </w:rPr>
            </w:pPr>
            <w:r>
              <w:rPr>
                <w:rFonts w:eastAsia="微软雅黑" w:hint="eastAsia"/>
                <w:iCs/>
                <w:sz w:val="20"/>
                <w:szCs w:val="20"/>
              </w:rPr>
              <w:t>(-9.46%)</w:t>
            </w:r>
          </w:p>
        </w:tc>
        <w:tc>
          <w:tcPr>
            <w:tcW w:w="1417" w:type="dxa"/>
          </w:tcPr>
          <w:p w14:paraId="5A857C79" w14:textId="147D5CD6" w:rsidR="001253BD" w:rsidRDefault="001253BD">
            <w:pPr>
              <w:pStyle w:val="NoSpacing"/>
              <w:rPr>
                <w:rFonts w:eastAsia="微软雅黑"/>
                <w:iCs/>
                <w:sz w:val="20"/>
                <w:szCs w:val="20"/>
              </w:rPr>
            </w:pPr>
            <w:r>
              <w:rPr>
                <w:rFonts w:eastAsia="微软雅黑" w:hint="eastAsia"/>
                <w:iCs/>
                <w:sz w:val="20"/>
                <w:szCs w:val="20"/>
              </w:rPr>
              <w:t>0%</w:t>
            </w:r>
          </w:p>
        </w:tc>
      </w:tr>
      <w:tr w:rsidR="001253BD" w14:paraId="08CBD612" w14:textId="4E0515CF" w:rsidTr="00B8607E">
        <w:trPr>
          <w:jc w:val="center"/>
        </w:trPr>
        <w:tc>
          <w:tcPr>
            <w:tcW w:w="1413" w:type="dxa"/>
          </w:tcPr>
          <w:p w14:paraId="0A18C1C0" w14:textId="77777777" w:rsidR="001253BD" w:rsidRDefault="001253BD">
            <w:pPr>
              <w:pStyle w:val="NoSpacing"/>
              <w:rPr>
                <w:rFonts w:eastAsia="微软雅黑"/>
                <w:iCs/>
                <w:sz w:val="20"/>
                <w:szCs w:val="20"/>
              </w:rPr>
            </w:pPr>
            <w:r>
              <w:rPr>
                <w:rFonts w:eastAsia="微软雅黑" w:hint="eastAsia"/>
                <w:iCs/>
                <w:sz w:val="20"/>
                <w:szCs w:val="20"/>
              </w:rPr>
              <w:t>Type II-Comb</w:t>
            </w:r>
          </w:p>
        </w:tc>
        <w:tc>
          <w:tcPr>
            <w:tcW w:w="1134" w:type="dxa"/>
          </w:tcPr>
          <w:p w14:paraId="72CD98FF" w14:textId="77777777" w:rsidR="001253BD" w:rsidRDefault="001253BD">
            <w:pPr>
              <w:pStyle w:val="NoSpacing"/>
              <w:rPr>
                <w:rFonts w:eastAsia="微软雅黑"/>
                <w:iCs/>
                <w:sz w:val="20"/>
                <w:szCs w:val="20"/>
              </w:rPr>
            </w:pPr>
            <w:r>
              <w:rPr>
                <w:rFonts w:eastAsia="微软雅黑" w:hint="eastAsia"/>
                <w:iCs/>
                <w:sz w:val="20"/>
                <w:szCs w:val="20"/>
              </w:rPr>
              <w:t>26.20</w:t>
            </w:r>
          </w:p>
          <w:p w14:paraId="54735BF5" w14:textId="77777777" w:rsidR="001253BD" w:rsidRDefault="001253BD">
            <w:pPr>
              <w:pStyle w:val="NoSpacing"/>
              <w:rPr>
                <w:rFonts w:eastAsia="微软雅黑"/>
                <w:iCs/>
                <w:sz w:val="20"/>
                <w:szCs w:val="20"/>
              </w:rPr>
            </w:pPr>
            <w:r>
              <w:rPr>
                <w:rFonts w:eastAsia="微软雅黑" w:hint="eastAsia"/>
                <w:iCs/>
                <w:sz w:val="20"/>
                <w:szCs w:val="20"/>
              </w:rPr>
              <w:t>(15.27%)</w:t>
            </w:r>
          </w:p>
        </w:tc>
        <w:tc>
          <w:tcPr>
            <w:tcW w:w="1134" w:type="dxa"/>
          </w:tcPr>
          <w:p w14:paraId="689BA071" w14:textId="77777777" w:rsidR="001253BD" w:rsidRDefault="001253BD">
            <w:pPr>
              <w:pStyle w:val="NoSpacing"/>
              <w:rPr>
                <w:rFonts w:eastAsia="微软雅黑"/>
                <w:iCs/>
                <w:sz w:val="20"/>
                <w:szCs w:val="20"/>
              </w:rPr>
            </w:pPr>
            <w:r>
              <w:rPr>
                <w:rFonts w:eastAsia="微软雅黑" w:hint="eastAsia"/>
                <w:iCs/>
                <w:sz w:val="20"/>
                <w:szCs w:val="20"/>
              </w:rPr>
              <w:t>5.40</w:t>
            </w:r>
          </w:p>
          <w:p w14:paraId="3566F21B" w14:textId="77777777" w:rsidR="001253BD" w:rsidRDefault="001253BD">
            <w:pPr>
              <w:pStyle w:val="NoSpacing"/>
              <w:rPr>
                <w:rFonts w:eastAsia="微软雅黑"/>
                <w:iCs/>
                <w:sz w:val="20"/>
                <w:szCs w:val="20"/>
              </w:rPr>
            </w:pPr>
            <w:r>
              <w:rPr>
                <w:rFonts w:eastAsia="微软雅黑" w:hint="eastAsia"/>
                <w:iCs/>
                <w:sz w:val="20"/>
                <w:szCs w:val="20"/>
              </w:rPr>
              <w:t>(61.11%)</w:t>
            </w:r>
          </w:p>
        </w:tc>
        <w:tc>
          <w:tcPr>
            <w:tcW w:w="1276" w:type="dxa"/>
          </w:tcPr>
          <w:p w14:paraId="4962D498" w14:textId="77777777" w:rsidR="001253BD" w:rsidRDefault="001253BD">
            <w:pPr>
              <w:pStyle w:val="NoSpacing"/>
              <w:rPr>
                <w:rFonts w:eastAsia="微软雅黑"/>
                <w:iCs/>
                <w:sz w:val="20"/>
                <w:szCs w:val="20"/>
              </w:rPr>
            </w:pPr>
            <w:r>
              <w:rPr>
                <w:rFonts w:eastAsia="微软雅黑" w:hint="eastAsia"/>
                <w:iCs/>
                <w:sz w:val="20"/>
                <w:szCs w:val="20"/>
              </w:rPr>
              <w:t>25.00</w:t>
            </w:r>
          </w:p>
          <w:p w14:paraId="6F829C70" w14:textId="77777777" w:rsidR="001253BD" w:rsidRDefault="001253BD">
            <w:pPr>
              <w:pStyle w:val="NoSpacing"/>
              <w:rPr>
                <w:rFonts w:eastAsia="微软雅黑"/>
                <w:iCs/>
                <w:sz w:val="20"/>
                <w:szCs w:val="20"/>
              </w:rPr>
            </w:pPr>
            <w:r>
              <w:rPr>
                <w:rFonts w:eastAsia="微软雅黑" w:hint="eastAsia"/>
                <w:iCs/>
                <w:sz w:val="20"/>
                <w:szCs w:val="20"/>
              </w:rPr>
              <w:t>(28.19%)</w:t>
            </w:r>
          </w:p>
        </w:tc>
        <w:tc>
          <w:tcPr>
            <w:tcW w:w="1275" w:type="dxa"/>
          </w:tcPr>
          <w:p w14:paraId="00B870FF" w14:textId="77777777" w:rsidR="001253BD" w:rsidRDefault="001253BD">
            <w:pPr>
              <w:pStyle w:val="NoSpacing"/>
              <w:rPr>
                <w:rFonts w:eastAsia="微软雅黑"/>
                <w:iCs/>
                <w:sz w:val="20"/>
                <w:szCs w:val="20"/>
              </w:rPr>
            </w:pPr>
            <w:r>
              <w:rPr>
                <w:rFonts w:eastAsia="微软雅黑" w:hint="eastAsia"/>
                <w:iCs/>
                <w:sz w:val="20"/>
                <w:szCs w:val="20"/>
              </w:rPr>
              <w:t>54.05</w:t>
            </w:r>
          </w:p>
          <w:p w14:paraId="3ED3A74D" w14:textId="77777777" w:rsidR="001253BD" w:rsidRDefault="001253BD">
            <w:pPr>
              <w:pStyle w:val="NoSpacing"/>
              <w:rPr>
                <w:rFonts w:eastAsia="微软雅黑"/>
                <w:iCs/>
                <w:sz w:val="20"/>
                <w:szCs w:val="20"/>
              </w:rPr>
            </w:pPr>
            <w:r>
              <w:rPr>
                <w:rFonts w:eastAsia="微软雅黑" w:hint="eastAsia"/>
                <w:iCs/>
                <w:sz w:val="20"/>
                <w:szCs w:val="20"/>
              </w:rPr>
              <w:t>(1.35%)</w:t>
            </w:r>
          </w:p>
        </w:tc>
        <w:tc>
          <w:tcPr>
            <w:tcW w:w="993" w:type="dxa"/>
          </w:tcPr>
          <w:p w14:paraId="58C60572" w14:textId="77777777" w:rsidR="001253BD" w:rsidRDefault="001253BD">
            <w:pPr>
              <w:pStyle w:val="NoSpacing"/>
              <w:rPr>
                <w:rFonts w:eastAsia="微软雅黑"/>
                <w:iCs/>
                <w:sz w:val="20"/>
                <w:szCs w:val="20"/>
              </w:rPr>
            </w:pPr>
            <w:r>
              <w:rPr>
                <w:rFonts w:eastAsia="微软雅黑" w:hint="eastAsia"/>
                <w:iCs/>
                <w:sz w:val="20"/>
                <w:szCs w:val="20"/>
              </w:rPr>
              <w:t>0.78</w:t>
            </w:r>
          </w:p>
          <w:p w14:paraId="3FCBCEDD" w14:textId="77777777" w:rsidR="001253BD" w:rsidRDefault="001253BD">
            <w:pPr>
              <w:pStyle w:val="NoSpacing"/>
              <w:rPr>
                <w:rFonts w:eastAsia="微软雅黑"/>
                <w:iCs/>
                <w:sz w:val="20"/>
                <w:szCs w:val="20"/>
              </w:rPr>
            </w:pPr>
            <w:r>
              <w:rPr>
                <w:rFonts w:eastAsia="微软雅黑" w:hint="eastAsia"/>
                <w:iCs/>
                <w:sz w:val="20"/>
                <w:szCs w:val="20"/>
              </w:rPr>
              <w:t>(-6.30%)</w:t>
            </w:r>
          </w:p>
        </w:tc>
        <w:tc>
          <w:tcPr>
            <w:tcW w:w="1417" w:type="dxa"/>
          </w:tcPr>
          <w:p w14:paraId="34228D9A" w14:textId="383B3D58" w:rsidR="001253BD" w:rsidRDefault="007915EA">
            <w:pPr>
              <w:pStyle w:val="NoSpacing"/>
              <w:rPr>
                <w:rFonts w:eastAsia="微软雅黑"/>
                <w:iCs/>
                <w:sz w:val="20"/>
                <w:szCs w:val="20"/>
              </w:rPr>
            </w:pPr>
            <w:r>
              <w:rPr>
                <w:rFonts w:eastAsia="微软雅黑"/>
                <w:iCs/>
                <w:sz w:val="20"/>
                <w:szCs w:val="20"/>
              </w:rPr>
              <w:t>-</w:t>
            </w:r>
            <w:r>
              <w:rPr>
                <w:rFonts w:eastAsia="微软雅黑" w:hint="eastAsia"/>
                <w:iCs/>
                <w:sz w:val="20"/>
                <w:szCs w:val="20"/>
              </w:rPr>
              <w:t>43.15%</w:t>
            </w:r>
          </w:p>
        </w:tc>
      </w:tr>
      <w:tr w:rsidR="001253BD" w14:paraId="5250AC84" w14:textId="2C9F19E6" w:rsidTr="00B8607E">
        <w:trPr>
          <w:jc w:val="center"/>
        </w:trPr>
        <w:tc>
          <w:tcPr>
            <w:tcW w:w="1413" w:type="dxa"/>
          </w:tcPr>
          <w:p w14:paraId="0EE02597" w14:textId="77777777" w:rsidR="001253BD" w:rsidRDefault="001253BD">
            <w:pPr>
              <w:pStyle w:val="NoSpacing"/>
              <w:rPr>
                <w:rFonts w:eastAsia="微软雅黑"/>
                <w:iCs/>
                <w:sz w:val="20"/>
                <w:szCs w:val="20"/>
              </w:rPr>
            </w:pPr>
            <w:r>
              <w:rPr>
                <w:rFonts w:eastAsia="微软雅黑" w:hint="eastAsia"/>
                <w:iCs/>
                <w:sz w:val="20"/>
                <w:szCs w:val="20"/>
              </w:rPr>
              <w:t>Type II-Diff</w:t>
            </w:r>
          </w:p>
        </w:tc>
        <w:tc>
          <w:tcPr>
            <w:tcW w:w="1134" w:type="dxa"/>
          </w:tcPr>
          <w:p w14:paraId="480EDC69" w14:textId="77777777" w:rsidR="001253BD" w:rsidRDefault="001253BD">
            <w:pPr>
              <w:pStyle w:val="NoSpacing"/>
              <w:rPr>
                <w:rFonts w:eastAsia="微软雅黑"/>
                <w:iCs/>
                <w:sz w:val="20"/>
                <w:szCs w:val="20"/>
              </w:rPr>
            </w:pPr>
            <w:r>
              <w:rPr>
                <w:rFonts w:eastAsia="微软雅黑" w:hint="eastAsia"/>
                <w:iCs/>
                <w:sz w:val="20"/>
                <w:szCs w:val="20"/>
              </w:rPr>
              <w:t>25.54</w:t>
            </w:r>
          </w:p>
          <w:p w14:paraId="7D2A77B7" w14:textId="77777777" w:rsidR="001253BD" w:rsidRDefault="001253BD">
            <w:pPr>
              <w:pStyle w:val="NoSpacing"/>
              <w:rPr>
                <w:rFonts w:eastAsia="微软雅黑"/>
                <w:iCs/>
                <w:sz w:val="20"/>
                <w:szCs w:val="20"/>
              </w:rPr>
            </w:pPr>
            <w:r>
              <w:rPr>
                <w:rFonts w:eastAsia="微软雅黑" w:hint="eastAsia"/>
                <w:iCs/>
                <w:sz w:val="20"/>
                <w:szCs w:val="20"/>
              </w:rPr>
              <w:t>(12.33%)</w:t>
            </w:r>
          </w:p>
        </w:tc>
        <w:tc>
          <w:tcPr>
            <w:tcW w:w="1134" w:type="dxa"/>
          </w:tcPr>
          <w:p w14:paraId="613FA3EF" w14:textId="77777777" w:rsidR="001253BD" w:rsidRDefault="001253BD">
            <w:pPr>
              <w:pStyle w:val="NoSpacing"/>
              <w:rPr>
                <w:rFonts w:eastAsia="微软雅黑"/>
                <w:iCs/>
                <w:sz w:val="20"/>
                <w:szCs w:val="20"/>
              </w:rPr>
            </w:pPr>
            <w:r>
              <w:rPr>
                <w:rFonts w:eastAsia="微软雅黑" w:hint="eastAsia"/>
                <w:iCs/>
                <w:sz w:val="20"/>
                <w:szCs w:val="20"/>
              </w:rPr>
              <w:t>5.06</w:t>
            </w:r>
          </w:p>
          <w:p w14:paraId="6180FCC9" w14:textId="77777777" w:rsidR="001253BD" w:rsidRDefault="001253BD">
            <w:pPr>
              <w:pStyle w:val="NoSpacing"/>
              <w:rPr>
                <w:rFonts w:eastAsia="微软雅黑"/>
                <w:iCs/>
                <w:sz w:val="20"/>
                <w:szCs w:val="20"/>
              </w:rPr>
            </w:pPr>
            <w:r>
              <w:rPr>
                <w:rFonts w:eastAsia="微软雅黑" w:hint="eastAsia"/>
                <w:iCs/>
                <w:sz w:val="20"/>
                <w:szCs w:val="20"/>
              </w:rPr>
              <w:t>(50.94%)</w:t>
            </w:r>
          </w:p>
        </w:tc>
        <w:tc>
          <w:tcPr>
            <w:tcW w:w="1276" w:type="dxa"/>
          </w:tcPr>
          <w:p w14:paraId="2C6E999D" w14:textId="77777777" w:rsidR="001253BD" w:rsidRDefault="001253BD">
            <w:pPr>
              <w:pStyle w:val="NoSpacing"/>
              <w:rPr>
                <w:rFonts w:eastAsia="微软雅黑"/>
                <w:iCs/>
                <w:sz w:val="20"/>
                <w:szCs w:val="20"/>
              </w:rPr>
            </w:pPr>
            <w:r>
              <w:rPr>
                <w:rFonts w:eastAsia="微软雅黑" w:hint="eastAsia"/>
                <w:iCs/>
                <w:sz w:val="20"/>
                <w:szCs w:val="20"/>
              </w:rPr>
              <w:t>23.46</w:t>
            </w:r>
          </w:p>
          <w:p w14:paraId="2A07F9C6" w14:textId="77777777" w:rsidR="001253BD" w:rsidRDefault="001253BD">
            <w:pPr>
              <w:pStyle w:val="NoSpacing"/>
              <w:rPr>
                <w:rFonts w:eastAsia="微软雅黑"/>
                <w:iCs/>
                <w:sz w:val="20"/>
                <w:szCs w:val="20"/>
              </w:rPr>
            </w:pPr>
            <w:r>
              <w:rPr>
                <w:rFonts w:eastAsia="微软雅黑" w:hint="eastAsia"/>
                <w:iCs/>
                <w:sz w:val="20"/>
                <w:szCs w:val="20"/>
              </w:rPr>
              <w:t>(20.32%)</w:t>
            </w:r>
          </w:p>
        </w:tc>
        <w:tc>
          <w:tcPr>
            <w:tcW w:w="1275" w:type="dxa"/>
          </w:tcPr>
          <w:p w14:paraId="0F05DD53" w14:textId="77777777" w:rsidR="001253BD" w:rsidRDefault="001253BD">
            <w:pPr>
              <w:pStyle w:val="NoSpacing"/>
              <w:rPr>
                <w:rFonts w:eastAsia="微软雅黑"/>
                <w:iCs/>
                <w:sz w:val="20"/>
                <w:szCs w:val="20"/>
              </w:rPr>
            </w:pPr>
            <w:r>
              <w:rPr>
                <w:rFonts w:eastAsia="微软雅黑" w:hint="eastAsia"/>
                <w:iCs/>
                <w:sz w:val="20"/>
                <w:szCs w:val="20"/>
              </w:rPr>
              <w:t>54.68</w:t>
            </w:r>
          </w:p>
          <w:p w14:paraId="6F087C10" w14:textId="77777777" w:rsidR="001253BD" w:rsidRDefault="001253BD">
            <w:pPr>
              <w:pStyle w:val="NoSpacing"/>
              <w:rPr>
                <w:rFonts w:eastAsia="微软雅黑"/>
                <w:iCs/>
                <w:sz w:val="20"/>
                <w:szCs w:val="20"/>
              </w:rPr>
            </w:pPr>
            <w:r>
              <w:rPr>
                <w:rFonts w:eastAsia="微软雅黑" w:hint="eastAsia"/>
                <w:iCs/>
                <w:sz w:val="20"/>
                <w:szCs w:val="20"/>
              </w:rPr>
              <w:t>(2.53%)</w:t>
            </w:r>
          </w:p>
        </w:tc>
        <w:tc>
          <w:tcPr>
            <w:tcW w:w="993" w:type="dxa"/>
          </w:tcPr>
          <w:p w14:paraId="338C5385" w14:textId="77777777" w:rsidR="001253BD" w:rsidRDefault="001253BD">
            <w:pPr>
              <w:pStyle w:val="NoSpacing"/>
              <w:rPr>
                <w:rFonts w:eastAsia="微软雅黑"/>
                <w:iCs/>
                <w:sz w:val="20"/>
                <w:szCs w:val="20"/>
              </w:rPr>
            </w:pPr>
            <w:r>
              <w:rPr>
                <w:rFonts w:eastAsia="微软雅黑" w:hint="eastAsia"/>
                <w:iCs/>
                <w:sz w:val="20"/>
                <w:szCs w:val="20"/>
              </w:rPr>
              <w:t>0.79</w:t>
            </w:r>
          </w:p>
          <w:p w14:paraId="296CE9C3" w14:textId="77777777" w:rsidR="001253BD" w:rsidRDefault="001253BD">
            <w:pPr>
              <w:pStyle w:val="NoSpacing"/>
              <w:rPr>
                <w:rFonts w:eastAsia="微软雅黑"/>
                <w:iCs/>
                <w:sz w:val="20"/>
                <w:szCs w:val="20"/>
              </w:rPr>
            </w:pPr>
            <w:r>
              <w:rPr>
                <w:rFonts w:eastAsia="微软雅黑" w:hint="eastAsia"/>
                <w:iCs/>
                <w:sz w:val="20"/>
                <w:szCs w:val="20"/>
              </w:rPr>
              <w:t>(-4.86%)</w:t>
            </w:r>
          </w:p>
        </w:tc>
        <w:tc>
          <w:tcPr>
            <w:tcW w:w="1417" w:type="dxa"/>
          </w:tcPr>
          <w:p w14:paraId="6EB154EF" w14:textId="53AD3594" w:rsidR="001253BD" w:rsidRDefault="007915EA">
            <w:pPr>
              <w:pStyle w:val="NoSpacing"/>
              <w:rPr>
                <w:rFonts w:eastAsia="微软雅黑"/>
                <w:iCs/>
                <w:sz w:val="20"/>
                <w:szCs w:val="20"/>
              </w:rPr>
            </w:pPr>
            <w:r>
              <w:rPr>
                <w:rFonts w:eastAsia="微软雅黑" w:hint="eastAsia"/>
                <w:iCs/>
                <w:sz w:val="20"/>
                <w:szCs w:val="20"/>
              </w:rPr>
              <w:t>-52.51%</w:t>
            </w:r>
          </w:p>
        </w:tc>
      </w:tr>
      <w:tr w:rsidR="001253BD" w14:paraId="65CAE7A3" w14:textId="24144080" w:rsidTr="00B8607E">
        <w:trPr>
          <w:jc w:val="center"/>
        </w:trPr>
        <w:tc>
          <w:tcPr>
            <w:tcW w:w="1413" w:type="dxa"/>
          </w:tcPr>
          <w:p w14:paraId="7BF71326" w14:textId="77777777" w:rsidR="001253BD" w:rsidRDefault="001253BD">
            <w:pPr>
              <w:pStyle w:val="NoSpacing"/>
              <w:rPr>
                <w:rFonts w:eastAsia="微软雅黑"/>
                <w:iCs/>
                <w:sz w:val="20"/>
                <w:szCs w:val="20"/>
              </w:rPr>
            </w:pPr>
            <w:r>
              <w:rPr>
                <w:rFonts w:eastAsia="微软雅黑" w:hint="eastAsia"/>
                <w:iCs/>
                <w:sz w:val="20"/>
                <w:szCs w:val="20"/>
              </w:rPr>
              <w:t>Type II-SVD</w:t>
            </w:r>
          </w:p>
        </w:tc>
        <w:tc>
          <w:tcPr>
            <w:tcW w:w="1134" w:type="dxa"/>
          </w:tcPr>
          <w:p w14:paraId="50A698C8" w14:textId="77777777" w:rsidR="001253BD" w:rsidRDefault="001253BD">
            <w:pPr>
              <w:pStyle w:val="NoSpacing"/>
              <w:rPr>
                <w:rFonts w:eastAsia="微软雅黑"/>
                <w:iCs/>
                <w:sz w:val="20"/>
                <w:szCs w:val="20"/>
              </w:rPr>
            </w:pPr>
            <w:r>
              <w:rPr>
                <w:rFonts w:eastAsia="微软雅黑" w:hint="eastAsia"/>
                <w:iCs/>
                <w:sz w:val="20"/>
                <w:szCs w:val="20"/>
              </w:rPr>
              <w:t>27.33</w:t>
            </w:r>
          </w:p>
          <w:p w14:paraId="224013CA" w14:textId="77777777" w:rsidR="001253BD" w:rsidRDefault="001253BD">
            <w:pPr>
              <w:pStyle w:val="NoSpacing"/>
              <w:rPr>
                <w:rFonts w:eastAsia="微软雅黑"/>
                <w:iCs/>
                <w:sz w:val="20"/>
                <w:szCs w:val="20"/>
              </w:rPr>
            </w:pPr>
            <w:r>
              <w:rPr>
                <w:rFonts w:eastAsia="微软雅黑" w:hint="eastAsia"/>
                <w:iCs/>
                <w:sz w:val="20"/>
                <w:szCs w:val="20"/>
              </w:rPr>
              <w:t>(20.23%)</w:t>
            </w:r>
          </w:p>
        </w:tc>
        <w:tc>
          <w:tcPr>
            <w:tcW w:w="1134" w:type="dxa"/>
          </w:tcPr>
          <w:p w14:paraId="0F43EBC7" w14:textId="77777777" w:rsidR="001253BD" w:rsidRDefault="001253BD">
            <w:pPr>
              <w:pStyle w:val="NoSpacing"/>
              <w:rPr>
                <w:rFonts w:eastAsia="微软雅黑"/>
                <w:iCs/>
                <w:sz w:val="20"/>
                <w:szCs w:val="20"/>
              </w:rPr>
            </w:pPr>
            <w:r>
              <w:rPr>
                <w:rFonts w:eastAsia="微软雅黑" w:hint="eastAsia"/>
                <w:iCs/>
                <w:sz w:val="20"/>
                <w:szCs w:val="20"/>
              </w:rPr>
              <w:t>6.15</w:t>
            </w:r>
          </w:p>
          <w:p w14:paraId="3BB8D808" w14:textId="77777777" w:rsidR="001253BD" w:rsidRDefault="001253BD">
            <w:pPr>
              <w:pStyle w:val="NoSpacing"/>
              <w:rPr>
                <w:rFonts w:eastAsia="微软雅黑"/>
                <w:iCs/>
                <w:sz w:val="20"/>
                <w:szCs w:val="20"/>
              </w:rPr>
            </w:pPr>
            <w:r>
              <w:rPr>
                <w:rFonts w:eastAsia="微软雅黑" w:hint="eastAsia"/>
                <w:iCs/>
                <w:sz w:val="20"/>
                <w:szCs w:val="20"/>
              </w:rPr>
              <w:t>(83.30%)</w:t>
            </w:r>
          </w:p>
        </w:tc>
        <w:tc>
          <w:tcPr>
            <w:tcW w:w="1276" w:type="dxa"/>
          </w:tcPr>
          <w:p w14:paraId="3D448139" w14:textId="77777777" w:rsidR="001253BD" w:rsidRDefault="001253BD">
            <w:pPr>
              <w:pStyle w:val="NoSpacing"/>
              <w:rPr>
                <w:rFonts w:eastAsia="微软雅黑"/>
                <w:iCs/>
                <w:sz w:val="20"/>
                <w:szCs w:val="20"/>
              </w:rPr>
            </w:pPr>
            <w:r>
              <w:rPr>
                <w:rFonts w:eastAsia="微软雅黑" w:hint="eastAsia"/>
                <w:iCs/>
                <w:sz w:val="20"/>
                <w:szCs w:val="20"/>
              </w:rPr>
              <w:t>25.80</w:t>
            </w:r>
          </w:p>
          <w:p w14:paraId="081E4B24" w14:textId="77777777" w:rsidR="001253BD" w:rsidRDefault="001253BD">
            <w:pPr>
              <w:pStyle w:val="NoSpacing"/>
              <w:rPr>
                <w:rFonts w:eastAsia="微软雅黑"/>
                <w:iCs/>
                <w:sz w:val="20"/>
                <w:szCs w:val="20"/>
              </w:rPr>
            </w:pPr>
            <w:r>
              <w:rPr>
                <w:rFonts w:eastAsia="微软雅黑" w:hint="eastAsia"/>
                <w:iCs/>
                <w:sz w:val="20"/>
                <w:szCs w:val="20"/>
              </w:rPr>
              <w:t>(32.33%)</w:t>
            </w:r>
          </w:p>
        </w:tc>
        <w:tc>
          <w:tcPr>
            <w:tcW w:w="1275" w:type="dxa"/>
          </w:tcPr>
          <w:p w14:paraId="0D3558FB" w14:textId="77777777" w:rsidR="001253BD" w:rsidRDefault="001253BD">
            <w:pPr>
              <w:pStyle w:val="NoSpacing"/>
              <w:rPr>
                <w:rFonts w:eastAsia="微软雅黑"/>
                <w:iCs/>
                <w:sz w:val="20"/>
                <w:szCs w:val="20"/>
              </w:rPr>
            </w:pPr>
            <w:r>
              <w:rPr>
                <w:rFonts w:eastAsia="微软雅黑" w:hint="eastAsia"/>
                <w:iCs/>
                <w:sz w:val="20"/>
                <w:szCs w:val="20"/>
              </w:rPr>
              <w:t>54.05</w:t>
            </w:r>
          </w:p>
          <w:p w14:paraId="52A351CD" w14:textId="77777777" w:rsidR="001253BD" w:rsidRDefault="001253BD">
            <w:pPr>
              <w:pStyle w:val="NoSpacing"/>
              <w:rPr>
                <w:rFonts w:eastAsia="微软雅黑"/>
                <w:iCs/>
                <w:sz w:val="20"/>
                <w:szCs w:val="20"/>
              </w:rPr>
            </w:pPr>
            <w:r>
              <w:rPr>
                <w:rFonts w:eastAsia="微软雅黑" w:hint="eastAsia"/>
                <w:iCs/>
                <w:sz w:val="20"/>
                <w:szCs w:val="20"/>
              </w:rPr>
              <w:t>(1.35%)</w:t>
            </w:r>
          </w:p>
        </w:tc>
        <w:tc>
          <w:tcPr>
            <w:tcW w:w="993" w:type="dxa"/>
          </w:tcPr>
          <w:p w14:paraId="5E85FD49" w14:textId="77777777" w:rsidR="001253BD" w:rsidRDefault="001253BD">
            <w:pPr>
              <w:pStyle w:val="NoSpacing"/>
              <w:rPr>
                <w:rFonts w:eastAsia="微软雅黑"/>
                <w:iCs/>
                <w:sz w:val="20"/>
                <w:szCs w:val="20"/>
              </w:rPr>
            </w:pPr>
            <w:r>
              <w:rPr>
                <w:rFonts w:eastAsia="微软雅黑" w:hint="eastAsia"/>
                <w:iCs/>
                <w:sz w:val="20"/>
                <w:szCs w:val="20"/>
              </w:rPr>
              <w:t>0.76</w:t>
            </w:r>
          </w:p>
          <w:p w14:paraId="5552D53A" w14:textId="77777777" w:rsidR="001253BD" w:rsidRDefault="001253BD">
            <w:pPr>
              <w:pStyle w:val="NoSpacing"/>
              <w:rPr>
                <w:rFonts w:eastAsia="微软雅黑"/>
                <w:iCs/>
                <w:sz w:val="20"/>
                <w:szCs w:val="20"/>
              </w:rPr>
            </w:pPr>
            <w:r>
              <w:rPr>
                <w:rFonts w:eastAsia="微软雅黑" w:hint="eastAsia"/>
                <w:iCs/>
                <w:sz w:val="20"/>
                <w:szCs w:val="20"/>
              </w:rPr>
              <w:t>(-8.48%)</w:t>
            </w:r>
          </w:p>
        </w:tc>
        <w:tc>
          <w:tcPr>
            <w:tcW w:w="1417" w:type="dxa"/>
          </w:tcPr>
          <w:p w14:paraId="37FB22BA" w14:textId="36ED5C16" w:rsidR="001253BD" w:rsidRDefault="007915EA">
            <w:pPr>
              <w:pStyle w:val="NoSpacing"/>
              <w:rPr>
                <w:rFonts w:eastAsia="微软雅黑"/>
                <w:iCs/>
                <w:sz w:val="20"/>
                <w:szCs w:val="20"/>
              </w:rPr>
            </w:pPr>
            <w:r>
              <w:rPr>
                <w:rFonts w:eastAsia="微软雅黑" w:hint="eastAsia"/>
                <w:iCs/>
                <w:sz w:val="20"/>
                <w:szCs w:val="20"/>
              </w:rPr>
              <w:t>-24.04%</w:t>
            </w:r>
          </w:p>
        </w:tc>
      </w:tr>
    </w:tbl>
    <w:p w14:paraId="342542B0" w14:textId="77777777" w:rsidR="00B457AD" w:rsidRDefault="00DF7AB4">
      <w:pPr>
        <w:snapToGrid w:val="0"/>
        <w:spacing w:before="120" w:afterLines="50" w:after="120"/>
        <w:jc w:val="both"/>
        <w:rPr>
          <w:rFonts w:eastAsia="微软雅黑"/>
          <w:sz w:val="20"/>
          <w:szCs w:val="20"/>
        </w:rPr>
      </w:pPr>
      <w:r>
        <w:rPr>
          <w:rFonts w:eastAsia="微软雅黑"/>
          <w:sz w:val="20"/>
          <w:szCs w:val="20"/>
        </w:rPr>
        <w:t>The CDF of ratio between throughput and overhead is given in Fig. 3.</w:t>
      </w:r>
    </w:p>
    <w:p w14:paraId="147C380D" w14:textId="59CD0F55" w:rsidR="00B457AD" w:rsidRDefault="00EC034B">
      <w:pPr>
        <w:snapToGrid w:val="0"/>
        <w:spacing w:before="120" w:afterLines="50" w:after="120"/>
        <w:jc w:val="center"/>
        <w:rPr>
          <w:rFonts w:eastAsia="微软雅黑"/>
          <w:sz w:val="20"/>
          <w:szCs w:val="20"/>
        </w:rPr>
      </w:pPr>
      <w:r>
        <w:rPr>
          <w:noProof/>
          <w:lang w:val="en-GB"/>
        </w:rPr>
        <w:drawing>
          <wp:inline distT="0" distB="0" distL="0" distR="0" wp14:anchorId="2AD216FB" wp14:editId="09FC00DD">
            <wp:extent cx="3162300" cy="2372631"/>
            <wp:effectExtent l="0" t="0" r="0" b="889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2"/>
                    <a:stretch>
                      <a:fillRect/>
                    </a:stretch>
                  </pic:blipFill>
                  <pic:spPr>
                    <a:xfrm>
                      <a:off x="0" y="0"/>
                      <a:ext cx="3189718" cy="2393202"/>
                    </a:xfrm>
                    <a:prstGeom prst="rect">
                      <a:avLst/>
                    </a:prstGeom>
                    <a:noFill/>
                    <a:ln w="9525">
                      <a:noFill/>
                    </a:ln>
                  </pic:spPr>
                </pic:pic>
              </a:graphicData>
            </a:graphic>
          </wp:inline>
        </w:drawing>
      </w:r>
    </w:p>
    <w:p w14:paraId="7C7F0397" w14:textId="77777777" w:rsidR="00B457AD" w:rsidRDefault="00DF7AB4">
      <w:pPr>
        <w:snapToGrid w:val="0"/>
        <w:spacing w:before="120" w:afterLines="50" w:after="120"/>
        <w:jc w:val="center"/>
        <w:rPr>
          <w:rFonts w:eastAsia="微软雅黑"/>
          <w:sz w:val="20"/>
          <w:szCs w:val="20"/>
        </w:rPr>
      </w:pPr>
      <w:r>
        <w:rPr>
          <w:rFonts w:eastAsia="微软雅黑"/>
          <w:sz w:val="20"/>
          <w:szCs w:val="20"/>
        </w:rPr>
        <w:lastRenderedPageBreak/>
        <w:t>Fig. 3 CDF of ratio between throughput and overhead</w:t>
      </w:r>
    </w:p>
    <w:p w14:paraId="2FB9B2E4" w14:textId="77777777" w:rsidR="00B457AD" w:rsidRDefault="00DF7AB4">
      <w:pPr>
        <w:snapToGrid w:val="0"/>
        <w:spacing w:before="120" w:afterLines="50" w:after="120"/>
        <w:jc w:val="both"/>
        <w:rPr>
          <w:rFonts w:eastAsia="微软雅黑"/>
          <w:sz w:val="20"/>
          <w:szCs w:val="20"/>
        </w:rPr>
      </w:pPr>
      <w:r>
        <w:rPr>
          <w:rFonts w:eastAsia="微软雅黑"/>
          <w:sz w:val="20"/>
          <w:szCs w:val="20"/>
        </w:rPr>
        <w:t>It is seen from the above simulation results that</w:t>
      </w:r>
    </w:p>
    <w:p w14:paraId="02109233" w14:textId="77777777" w:rsidR="00B457AD" w:rsidRDefault="00DF7AB4">
      <w:pPr>
        <w:pStyle w:val="ListParagraph"/>
        <w:numPr>
          <w:ilvl w:val="0"/>
          <w:numId w:val="5"/>
        </w:numPr>
        <w:snapToGrid w:val="0"/>
        <w:spacing w:before="120" w:afterLines="50" w:after="120"/>
        <w:ind w:leftChars="0"/>
        <w:jc w:val="both"/>
        <w:rPr>
          <w:rFonts w:eastAsia="微软雅黑"/>
          <w:szCs w:val="20"/>
        </w:rPr>
      </w:pPr>
      <w:r>
        <w:rPr>
          <w:rFonts w:eastAsia="微软雅黑" w:hint="eastAsia"/>
          <w:szCs w:val="20"/>
        </w:rPr>
        <w:t xml:space="preserve">From throughput performance </w:t>
      </w:r>
      <w:r>
        <w:rPr>
          <w:rFonts w:eastAsia="微软雅黑"/>
          <w:szCs w:val="20"/>
        </w:rPr>
        <w:t>perspective</w:t>
      </w:r>
      <w:r>
        <w:rPr>
          <w:rFonts w:eastAsia="微软雅黑" w:hint="eastAsia"/>
          <w:szCs w:val="20"/>
        </w:rPr>
        <w:t>,</w:t>
      </w:r>
      <w:r>
        <w:rPr>
          <w:rFonts w:eastAsia="微软雅黑"/>
          <w:szCs w:val="20"/>
        </w:rPr>
        <w:t xml:space="preserve"> Type II SVD has the best performance among overhead reduction schemes, with better performance than the Type II Comb. The performance loss compared to normal Type II is quite small, which is about 2% in average. The number of reduced bits is not as large as other two schemes.</w:t>
      </w:r>
    </w:p>
    <w:p w14:paraId="50C558F0" w14:textId="76016938" w:rsidR="00B457AD" w:rsidRDefault="00DF7AB4">
      <w:pPr>
        <w:pStyle w:val="ListParagraph"/>
        <w:numPr>
          <w:ilvl w:val="0"/>
          <w:numId w:val="5"/>
        </w:numPr>
        <w:snapToGrid w:val="0"/>
        <w:spacing w:before="120" w:afterLines="50" w:after="120"/>
        <w:ind w:leftChars="0"/>
        <w:jc w:val="both"/>
        <w:rPr>
          <w:rFonts w:eastAsia="微软雅黑"/>
          <w:szCs w:val="20"/>
        </w:rPr>
      </w:pPr>
      <w:r>
        <w:rPr>
          <w:rFonts w:eastAsia="微软雅黑"/>
          <w:szCs w:val="20"/>
        </w:rPr>
        <w:t xml:space="preserve">The number of reduced bits of Type II Diff is very large. </w:t>
      </w:r>
      <w:r w:rsidR="00365414">
        <w:rPr>
          <w:rFonts w:eastAsia="微软雅黑"/>
          <w:szCs w:val="20"/>
        </w:rPr>
        <w:t xml:space="preserve">The average reduced overhead is about </w:t>
      </w:r>
      <w:r w:rsidR="00270F02">
        <w:rPr>
          <w:rFonts w:eastAsia="微软雅黑"/>
          <w:szCs w:val="20"/>
        </w:rPr>
        <w:t>52.51</w:t>
      </w:r>
      <w:r w:rsidR="00365414">
        <w:rPr>
          <w:rFonts w:eastAsia="微软雅黑"/>
          <w:szCs w:val="20"/>
        </w:rPr>
        <w:t>% of the legacy Type II report</w:t>
      </w:r>
      <w:r w:rsidR="000D09B9">
        <w:rPr>
          <w:rFonts w:eastAsia="微软雅黑"/>
          <w:szCs w:val="20"/>
        </w:rPr>
        <w:t xml:space="preserve">. </w:t>
      </w:r>
      <w:r>
        <w:rPr>
          <w:rFonts w:eastAsia="微软雅黑"/>
          <w:szCs w:val="20"/>
        </w:rPr>
        <w:t>The performance loss is tolerable. It still achieves more than 10% gain over the Type I codebook. The Throughput/Overhead performance of Type II Diff is the best one, which is even better than the baseline Type II Comb.</w:t>
      </w:r>
      <w:r>
        <w:rPr>
          <w:rFonts w:eastAsia="微软雅黑" w:hint="eastAsia"/>
          <w:szCs w:val="20"/>
          <w:lang w:val="en-US"/>
        </w:rPr>
        <w:t xml:space="preserve"> </w:t>
      </w:r>
    </w:p>
    <w:p w14:paraId="7EA046E3" w14:textId="77777777" w:rsidR="00B457AD" w:rsidRDefault="00DF7AB4">
      <w:pPr>
        <w:pStyle w:val="ListParagraph"/>
        <w:snapToGrid w:val="0"/>
        <w:spacing w:before="120" w:afterLines="50" w:after="120"/>
        <w:ind w:leftChars="0" w:left="0" w:firstLine="0"/>
        <w:jc w:val="both"/>
        <w:rPr>
          <w:rFonts w:ascii="Times New Roman" w:eastAsia="微软雅黑" w:hAnsi="Times New Roman" w:cs="Times New Roman"/>
          <w:b/>
          <w:i/>
          <w:szCs w:val="20"/>
          <w:lang w:val="en-US"/>
        </w:rPr>
      </w:pPr>
      <w:r>
        <w:rPr>
          <w:rFonts w:ascii="Times New Roman" w:eastAsia="微软雅黑" w:hAnsi="Times New Roman" w:cs="Times New Roman" w:hint="eastAsia"/>
          <w:b/>
          <w:i/>
          <w:szCs w:val="20"/>
          <w:lang w:val="en-US"/>
        </w:rPr>
        <w:t xml:space="preserve">Observation </w:t>
      </w:r>
      <w:r>
        <w:rPr>
          <w:rFonts w:ascii="Times New Roman" w:eastAsia="微软雅黑" w:hAnsi="Times New Roman" w:cs="Times New Roman"/>
          <w:b/>
          <w:i/>
          <w:szCs w:val="20"/>
          <w:lang w:val="en-US"/>
        </w:rPr>
        <w:t xml:space="preserve">3: </w:t>
      </w:r>
    </w:p>
    <w:p w14:paraId="65CC7D61" w14:textId="77777777" w:rsidR="00B457AD" w:rsidRDefault="00DF7AB4">
      <w:pPr>
        <w:pStyle w:val="ListParagraph"/>
        <w:numPr>
          <w:ilvl w:val="0"/>
          <w:numId w:val="5"/>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Type II with differential coding on sub-band phase achieves very good performance on the ratio between through/overhead.</w:t>
      </w:r>
    </w:p>
    <w:p w14:paraId="70F2E972" w14:textId="77777777" w:rsidR="00B457AD" w:rsidRDefault="00DF7AB4">
      <w:pPr>
        <w:pStyle w:val="ListParagraph"/>
        <w:numPr>
          <w:ilvl w:val="0"/>
          <w:numId w:val="5"/>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The proposed SVD based Type II report achieves quite small performance loss compared to the legacy Type II.</w:t>
      </w:r>
    </w:p>
    <w:p w14:paraId="31F2BA3E" w14:textId="77777777" w:rsidR="00B457AD" w:rsidRDefault="00DF7AB4">
      <w:pPr>
        <w:pStyle w:val="Heading1"/>
        <w:tabs>
          <w:tab w:val="clear" w:pos="432"/>
        </w:tabs>
        <w:snapToGrid w:val="0"/>
        <w:spacing w:beforeLines="50" w:before="120" w:afterLines="50" w:after="120"/>
        <w:ind w:left="431" w:hanging="431"/>
        <w:rPr>
          <w:sz w:val="28"/>
          <w:lang w:val="en-US"/>
        </w:rPr>
      </w:pPr>
      <w:r>
        <w:rPr>
          <w:rFonts w:hint="eastAsia"/>
          <w:sz w:val="28"/>
          <w:lang w:val="en-US"/>
        </w:rPr>
        <w:t xml:space="preserve">Higher </w:t>
      </w:r>
      <w:r>
        <w:rPr>
          <w:sz w:val="28"/>
          <w:lang w:val="en-US"/>
        </w:rPr>
        <w:t>rank</w:t>
      </w:r>
      <w:r>
        <w:rPr>
          <w:rFonts w:hint="eastAsia"/>
          <w:sz w:val="28"/>
          <w:lang w:val="en-US"/>
        </w:rPr>
        <w:t xml:space="preserve"> support for Type II</w:t>
      </w:r>
    </w:p>
    <w:p w14:paraId="47DFB1DE" w14:textId="77777777" w:rsidR="00B457AD" w:rsidRDefault="00DF7AB4">
      <w:pPr>
        <w:snapToGrid w:val="0"/>
        <w:spacing w:before="120" w:afterLines="50" w:after="120" w:line="240" w:lineRule="auto"/>
        <w:jc w:val="both"/>
        <w:rPr>
          <w:rFonts w:eastAsia="微软雅黑"/>
          <w:b/>
        </w:rPr>
      </w:pPr>
      <w:r>
        <w:rPr>
          <w:rFonts w:eastAsia="微软雅黑" w:hint="eastAsia"/>
          <w:b/>
        </w:rPr>
        <w:t>3.1 Enhancement on higher rank support</w:t>
      </w:r>
    </w:p>
    <w:p w14:paraId="6BB76737"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A study point of T</w:t>
      </w:r>
      <w:r>
        <w:rPr>
          <w:rFonts w:eastAsia="微软雅黑"/>
          <w:sz w:val="20"/>
          <w:szCs w:val="20"/>
        </w:rPr>
        <w:t>y</w:t>
      </w:r>
      <w:r>
        <w:rPr>
          <w:rFonts w:eastAsia="微软雅黑" w:hint="eastAsia"/>
          <w:sz w:val="20"/>
          <w:szCs w:val="20"/>
        </w:rPr>
        <w:t xml:space="preserve">pe </w:t>
      </w:r>
      <w:r>
        <w:rPr>
          <w:rFonts w:eastAsia="微软雅黑"/>
          <w:sz w:val="20"/>
          <w:szCs w:val="20"/>
        </w:rPr>
        <w:t xml:space="preserve">II enhancement in Rel-16 is to evaluate the higher rank support of Type II. Type II CSI is major targeted to the MU-MIMO use cases. If rank 4 is supported for Type II, gNB would have more flexibility to do MU scheduling, e.g., 4+4 MU paring can be possible. However, the performance of supporting higher rank Type II should be justified. </w:t>
      </w:r>
    </w:p>
    <w:p w14:paraId="75FF9373" w14:textId="77777777" w:rsidR="00B457AD" w:rsidRDefault="00DF7AB4">
      <w:pPr>
        <w:snapToGrid w:val="0"/>
        <w:spacing w:before="120" w:afterLines="50" w:after="120" w:line="240" w:lineRule="auto"/>
        <w:jc w:val="both"/>
        <w:rPr>
          <w:rFonts w:eastAsia="微软雅黑"/>
          <w:sz w:val="20"/>
          <w:szCs w:val="20"/>
        </w:rPr>
      </w:pPr>
      <w:r>
        <w:rPr>
          <w:rFonts w:eastAsia="微软雅黑"/>
          <w:sz w:val="20"/>
          <w:szCs w:val="20"/>
        </w:rPr>
        <w:t>In fact, usually, a similar performance of 4+4 MU paring can also be achieved by a 2+2+2+2 MU pairing. Then to compare the rank-2 performance and rank-4 performance in MU, we should limit the total number of streams to the same maximum number of streams, e.g. 8, in gNB to enable both of the above two MU scheduling strategies. Further, in practical network, the gain of rank-4 MU may come from the case that gNB cannot find 4 UEs to be scheduled in the cell. Hence, in order to simulate this case, FTP traffic model should be assumed instead of full buffer.</w:t>
      </w:r>
    </w:p>
    <w:p w14:paraId="68C8A753" w14:textId="77777777" w:rsidR="00B457AD" w:rsidRDefault="00DF7AB4">
      <w:pPr>
        <w:snapToGrid w:val="0"/>
        <w:spacing w:before="120" w:afterLines="50" w:after="120" w:line="240" w:lineRule="auto"/>
        <w:jc w:val="both"/>
        <w:rPr>
          <w:rFonts w:eastAsia="微软雅黑"/>
          <w:i/>
          <w:sz w:val="20"/>
          <w:szCs w:val="20"/>
        </w:rPr>
      </w:pPr>
      <w:r>
        <w:rPr>
          <w:rFonts w:eastAsia="微软雅黑" w:hint="eastAsia"/>
          <w:b/>
          <w:i/>
          <w:sz w:val="20"/>
          <w:szCs w:val="20"/>
        </w:rPr>
        <w:t>Proposal</w:t>
      </w:r>
      <w:r>
        <w:rPr>
          <w:rFonts w:eastAsia="微软雅黑"/>
          <w:b/>
          <w:i/>
          <w:sz w:val="20"/>
          <w:szCs w:val="20"/>
        </w:rPr>
        <w:t xml:space="preserve"> </w:t>
      </w:r>
      <w:r>
        <w:rPr>
          <w:rFonts w:eastAsia="微软雅黑" w:hint="eastAsia"/>
          <w:b/>
          <w:i/>
          <w:sz w:val="20"/>
          <w:szCs w:val="20"/>
        </w:rPr>
        <w:t>4:</w:t>
      </w:r>
      <w:r>
        <w:rPr>
          <w:rFonts w:eastAsia="微软雅黑" w:hint="eastAsia"/>
          <w:i/>
          <w:sz w:val="20"/>
          <w:szCs w:val="20"/>
        </w:rPr>
        <w:t xml:space="preserve"> </w:t>
      </w:r>
      <w:r>
        <w:rPr>
          <w:rFonts w:eastAsia="微软雅黑"/>
          <w:i/>
          <w:sz w:val="20"/>
          <w:szCs w:val="20"/>
        </w:rPr>
        <w:t xml:space="preserve">Performance evaluation for higher-rank Type II CSI shall assume MU scheduling with limited total number of gNB streams and FTP traffic model. </w:t>
      </w:r>
    </w:p>
    <w:p w14:paraId="74C8016D"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 xml:space="preserve">Additionally, overhead reduction is also a significant issue in supporting higher rank Type II. </w:t>
      </w:r>
      <w:r>
        <w:rPr>
          <w:rFonts w:eastAsia="微软雅黑"/>
          <w:sz w:val="20"/>
          <w:szCs w:val="20"/>
        </w:rPr>
        <w:t>The total number of rank 4 CSI can be twice as the rank 2 CSI without overhead reduction. All the overhead reduction schemes, including both semi-static and dynamic overhead reduction, should consider rank 4 if the performance gain of rank 4 is justified. Especially for the dynamic overhead reduction, the current partial CSI omission granularity is not sufficient for rank 4 based on the analysis above. Hence the CSI omission rule should be extended to finer granularity, e.g., including comb-4 pattern, if Type II CSI is extended to higher rank.</w:t>
      </w:r>
    </w:p>
    <w:p w14:paraId="37EBB07A" w14:textId="77777777" w:rsidR="00B457AD" w:rsidRDefault="00DF7AB4">
      <w:pPr>
        <w:snapToGrid w:val="0"/>
        <w:spacing w:before="120" w:afterLines="50" w:after="120" w:line="240" w:lineRule="auto"/>
        <w:jc w:val="both"/>
        <w:rPr>
          <w:rFonts w:eastAsia="微软雅黑"/>
          <w:i/>
          <w:sz w:val="20"/>
          <w:szCs w:val="20"/>
        </w:rPr>
      </w:pPr>
      <w:r>
        <w:rPr>
          <w:rFonts w:eastAsia="微软雅黑"/>
          <w:b/>
          <w:i/>
          <w:sz w:val="20"/>
          <w:szCs w:val="20"/>
        </w:rPr>
        <w:t xml:space="preserve">Proposal </w:t>
      </w:r>
      <w:r>
        <w:rPr>
          <w:rFonts w:eastAsia="微软雅黑" w:hint="eastAsia"/>
          <w:b/>
          <w:i/>
          <w:sz w:val="20"/>
          <w:szCs w:val="20"/>
        </w:rPr>
        <w:t>5</w:t>
      </w:r>
      <w:r>
        <w:rPr>
          <w:rFonts w:eastAsia="微软雅黑"/>
          <w:b/>
          <w:i/>
          <w:sz w:val="20"/>
          <w:szCs w:val="20"/>
        </w:rPr>
        <w:t>:</w:t>
      </w:r>
      <w:r>
        <w:rPr>
          <w:rFonts w:eastAsia="微软雅黑"/>
          <w:i/>
          <w:sz w:val="20"/>
          <w:szCs w:val="20"/>
        </w:rPr>
        <w:t xml:space="preserve"> If Type II is extended to higher rank, the CSI omission rule for partial sub-bands should also be extended.</w:t>
      </w:r>
    </w:p>
    <w:p w14:paraId="67DE1827" w14:textId="77777777" w:rsidR="00B457AD" w:rsidRDefault="00DF7AB4">
      <w:pPr>
        <w:snapToGrid w:val="0"/>
        <w:spacing w:before="120" w:afterLines="50" w:after="120" w:line="240" w:lineRule="auto"/>
        <w:jc w:val="both"/>
        <w:rPr>
          <w:rFonts w:eastAsia="微软雅黑"/>
          <w:b/>
        </w:rPr>
      </w:pPr>
      <w:r>
        <w:rPr>
          <w:rFonts w:eastAsia="微软雅黑" w:hint="eastAsia"/>
          <w:b/>
        </w:rPr>
        <w:t>3.2 Simulation results</w:t>
      </w:r>
    </w:p>
    <w:p w14:paraId="4E517638" w14:textId="3FC776F8"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 xml:space="preserve">To compare the performance of higher rank Type II CSI, we conduct simulations on rank-2 Type II codebook and rank-4 Type II codebook. </w:t>
      </w:r>
      <w:r>
        <w:rPr>
          <w:rFonts w:eastAsia="微软雅黑"/>
          <w:sz w:val="20"/>
          <w:szCs w:val="20"/>
        </w:rPr>
        <w:t xml:space="preserve">The total number of </w:t>
      </w:r>
      <w:proofErr w:type="spellStart"/>
      <w:r>
        <w:rPr>
          <w:rFonts w:eastAsia="微软雅黑"/>
          <w:sz w:val="20"/>
          <w:szCs w:val="20"/>
        </w:rPr>
        <w:t>gNB</w:t>
      </w:r>
      <w:proofErr w:type="spellEnd"/>
      <w:r>
        <w:rPr>
          <w:rFonts w:eastAsia="微软雅黑"/>
          <w:sz w:val="20"/>
          <w:szCs w:val="20"/>
        </w:rPr>
        <w:t xml:space="preserve"> streams </w:t>
      </w:r>
      <w:r w:rsidR="00925031">
        <w:rPr>
          <w:rFonts w:eastAsia="微软雅黑"/>
          <w:sz w:val="20"/>
          <w:szCs w:val="20"/>
        </w:rPr>
        <w:t xml:space="preserve">is </w:t>
      </w:r>
      <w:r>
        <w:rPr>
          <w:rFonts w:eastAsia="微软雅黑"/>
          <w:sz w:val="20"/>
          <w:szCs w:val="20"/>
        </w:rPr>
        <w:t>8.</w:t>
      </w:r>
      <w:r>
        <w:rPr>
          <w:rFonts w:eastAsia="微软雅黑" w:hint="eastAsia"/>
          <w:sz w:val="20"/>
          <w:szCs w:val="20"/>
        </w:rPr>
        <w:t xml:space="preserve"> The</w:t>
      </w:r>
      <w:r>
        <w:rPr>
          <w:rFonts w:eastAsia="微软雅黑"/>
          <w:sz w:val="20"/>
          <w:szCs w:val="20"/>
        </w:rPr>
        <w:t xml:space="preserve"> number of Rx antennas for both rank-2 and rank 2 is 4. The other simulation assumptions are given in Appendix. The throughput performance Type II-rank2 and Type II-rank4 is given in Table 3.1.</w:t>
      </w:r>
    </w:p>
    <w:p w14:paraId="26312B52" w14:textId="77777777" w:rsidR="00B457AD" w:rsidRDefault="00DF7AB4">
      <w:pPr>
        <w:snapToGrid w:val="0"/>
        <w:spacing w:before="120" w:afterLines="50" w:after="120" w:line="240" w:lineRule="auto"/>
        <w:jc w:val="center"/>
        <w:rPr>
          <w:rFonts w:eastAsia="微软雅黑"/>
          <w:sz w:val="20"/>
          <w:szCs w:val="20"/>
        </w:rPr>
      </w:pPr>
      <w:r>
        <w:rPr>
          <w:rFonts w:eastAsia="微软雅黑"/>
          <w:sz w:val="20"/>
          <w:szCs w:val="20"/>
        </w:rPr>
        <w:t>Table 3.1 Throughput performance</w:t>
      </w:r>
    </w:p>
    <w:tbl>
      <w:tblPr>
        <w:tblStyle w:val="TableGrid"/>
        <w:tblW w:w="7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192"/>
        <w:gridCol w:w="1238"/>
        <w:gridCol w:w="1215"/>
        <w:gridCol w:w="1245"/>
        <w:gridCol w:w="1162"/>
      </w:tblGrid>
      <w:tr w:rsidR="00B457AD" w14:paraId="6ACEDA9E" w14:textId="77777777">
        <w:trPr>
          <w:jc w:val="center"/>
        </w:trPr>
        <w:tc>
          <w:tcPr>
            <w:tcW w:w="1509" w:type="dxa"/>
          </w:tcPr>
          <w:p w14:paraId="4757AE9F" w14:textId="77777777" w:rsidR="00B457AD" w:rsidRDefault="00B457AD">
            <w:pPr>
              <w:pStyle w:val="NoSpacing"/>
              <w:jc w:val="center"/>
              <w:rPr>
                <w:rFonts w:eastAsia="微软雅黑"/>
                <w:iCs/>
                <w:sz w:val="20"/>
                <w:szCs w:val="20"/>
              </w:rPr>
            </w:pPr>
          </w:p>
        </w:tc>
        <w:tc>
          <w:tcPr>
            <w:tcW w:w="1192" w:type="dxa"/>
          </w:tcPr>
          <w:p w14:paraId="09D2EEB2" w14:textId="77777777" w:rsidR="00B457AD" w:rsidRDefault="00DF7AB4">
            <w:pPr>
              <w:pStyle w:val="NoSpacing"/>
              <w:jc w:val="center"/>
              <w:rPr>
                <w:rFonts w:eastAsia="微软雅黑"/>
                <w:iCs/>
                <w:sz w:val="20"/>
                <w:szCs w:val="20"/>
              </w:rPr>
            </w:pPr>
            <w:r>
              <w:rPr>
                <w:rFonts w:eastAsia="微软雅黑"/>
                <w:iCs/>
                <w:sz w:val="20"/>
                <w:szCs w:val="20"/>
              </w:rPr>
              <w:t>Mean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38" w:type="dxa"/>
          </w:tcPr>
          <w:p w14:paraId="7C1BC979" w14:textId="77777777" w:rsidR="00B457AD" w:rsidRDefault="00DF7AB4">
            <w:pPr>
              <w:pStyle w:val="NoSpacing"/>
              <w:jc w:val="center"/>
              <w:rPr>
                <w:rFonts w:eastAsia="微软雅黑"/>
                <w:iCs/>
                <w:sz w:val="20"/>
                <w:szCs w:val="20"/>
              </w:rPr>
            </w:pPr>
            <w:r>
              <w:rPr>
                <w:rFonts w:eastAsia="微软雅黑"/>
                <w:iCs/>
                <w:sz w:val="20"/>
                <w:szCs w:val="20"/>
              </w:rPr>
              <w:t>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15" w:type="dxa"/>
          </w:tcPr>
          <w:p w14:paraId="510D2A9B" w14:textId="77777777" w:rsidR="00B457AD" w:rsidRDefault="00DF7AB4">
            <w:pPr>
              <w:pStyle w:val="NoSpacing"/>
              <w:jc w:val="center"/>
              <w:rPr>
                <w:rFonts w:eastAsia="微软雅黑"/>
                <w:iCs/>
                <w:sz w:val="20"/>
                <w:szCs w:val="20"/>
              </w:rPr>
            </w:pPr>
            <w:r>
              <w:rPr>
                <w:rFonts w:eastAsia="微软雅黑"/>
                <w:iCs/>
                <w:sz w:val="20"/>
                <w:szCs w:val="20"/>
              </w:rPr>
              <w:t>50%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45" w:type="dxa"/>
          </w:tcPr>
          <w:p w14:paraId="01285BB2" w14:textId="77777777" w:rsidR="00B457AD" w:rsidRDefault="00DF7AB4">
            <w:pPr>
              <w:pStyle w:val="NoSpacing"/>
              <w:jc w:val="center"/>
              <w:rPr>
                <w:rFonts w:eastAsia="微软雅黑"/>
                <w:iCs/>
                <w:sz w:val="20"/>
                <w:szCs w:val="20"/>
              </w:rPr>
            </w:pPr>
            <w:r>
              <w:rPr>
                <w:rFonts w:eastAsia="微软雅黑"/>
                <w:iCs/>
                <w:sz w:val="20"/>
                <w:szCs w:val="20"/>
              </w:rPr>
              <w:t>95%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162" w:type="dxa"/>
          </w:tcPr>
          <w:p w14:paraId="045277E9" w14:textId="77777777" w:rsidR="00B457AD" w:rsidRDefault="00DF7AB4">
            <w:pPr>
              <w:pStyle w:val="NoSpacing"/>
              <w:jc w:val="center"/>
              <w:rPr>
                <w:rFonts w:eastAsia="微软雅黑"/>
                <w:iCs/>
                <w:sz w:val="20"/>
                <w:szCs w:val="20"/>
              </w:rPr>
            </w:pPr>
            <w:r>
              <w:rPr>
                <w:rFonts w:eastAsia="微软雅黑"/>
                <w:iCs/>
                <w:sz w:val="20"/>
                <w:szCs w:val="20"/>
              </w:rPr>
              <w:t>RU</w:t>
            </w:r>
          </w:p>
        </w:tc>
      </w:tr>
      <w:tr w:rsidR="00B457AD" w14:paraId="2181F105" w14:textId="77777777">
        <w:trPr>
          <w:jc w:val="center"/>
        </w:trPr>
        <w:tc>
          <w:tcPr>
            <w:tcW w:w="1509" w:type="dxa"/>
          </w:tcPr>
          <w:p w14:paraId="1CA5D4D9" w14:textId="77777777" w:rsidR="00B457AD" w:rsidRDefault="00DF7AB4">
            <w:pPr>
              <w:pStyle w:val="NoSpacing"/>
              <w:jc w:val="center"/>
              <w:rPr>
                <w:rFonts w:eastAsia="微软雅黑"/>
                <w:iCs/>
                <w:sz w:val="20"/>
                <w:szCs w:val="20"/>
              </w:rPr>
            </w:pPr>
            <w:r>
              <w:rPr>
                <w:rFonts w:eastAsia="微软雅黑"/>
                <w:sz w:val="20"/>
                <w:szCs w:val="20"/>
              </w:rPr>
              <w:t>Type II-rank2</w:t>
            </w:r>
          </w:p>
        </w:tc>
        <w:tc>
          <w:tcPr>
            <w:tcW w:w="1192" w:type="dxa"/>
          </w:tcPr>
          <w:p w14:paraId="20E33D36" w14:textId="77777777" w:rsidR="00B457AD" w:rsidRDefault="00DF7AB4">
            <w:pPr>
              <w:pStyle w:val="NoSpacing"/>
              <w:jc w:val="center"/>
              <w:rPr>
                <w:sz w:val="20"/>
                <w:szCs w:val="20"/>
              </w:rPr>
            </w:pPr>
            <w:r>
              <w:rPr>
                <w:sz w:val="20"/>
                <w:szCs w:val="20"/>
              </w:rPr>
              <w:t>46.98</w:t>
            </w:r>
          </w:p>
        </w:tc>
        <w:tc>
          <w:tcPr>
            <w:tcW w:w="1238" w:type="dxa"/>
          </w:tcPr>
          <w:p w14:paraId="48AFF2D2" w14:textId="77777777" w:rsidR="00B457AD" w:rsidRDefault="00DF7AB4">
            <w:pPr>
              <w:pStyle w:val="NoSpacing"/>
              <w:jc w:val="center"/>
              <w:rPr>
                <w:sz w:val="20"/>
                <w:szCs w:val="20"/>
              </w:rPr>
            </w:pPr>
            <w:r>
              <w:rPr>
                <w:sz w:val="20"/>
                <w:szCs w:val="20"/>
              </w:rPr>
              <w:t>22.13</w:t>
            </w:r>
          </w:p>
        </w:tc>
        <w:tc>
          <w:tcPr>
            <w:tcW w:w="1215" w:type="dxa"/>
          </w:tcPr>
          <w:p w14:paraId="21033097" w14:textId="77777777" w:rsidR="00B457AD" w:rsidRDefault="00DF7AB4">
            <w:pPr>
              <w:pStyle w:val="NoSpacing"/>
              <w:jc w:val="center"/>
              <w:rPr>
                <w:sz w:val="20"/>
                <w:szCs w:val="20"/>
              </w:rPr>
            </w:pPr>
            <w:r>
              <w:rPr>
                <w:sz w:val="20"/>
                <w:szCs w:val="20"/>
              </w:rPr>
              <w:t>48.78</w:t>
            </w:r>
          </w:p>
        </w:tc>
        <w:tc>
          <w:tcPr>
            <w:tcW w:w="1245" w:type="dxa"/>
          </w:tcPr>
          <w:p w14:paraId="126BE394" w14:textId="77777777" w:rsidR="00B457AD" w:rsidRDefault="00DF7AB4">
            <w:pPr>
              <w:pStyle w:val="NoSpacing"/>
              <w:jc w:val="center"/>
              <w:rPr>
                <w:sz w:val="20"/>
                <w:szCs w:val="20"/>
              </w:rPr>
            </w:pPr>
            <w:r>
              <w:rPr>
                <w:sz w:val="20"/>
                <w:szCs w:val="20"/>
              </w:rPr>
              <w:t>63.49</w:t>
            </w:r>
          </w:p>
        </w:tc>
        <w:tc>
          <w:tcPr>
            <w:tcW w:w="1162" w:type="dxa"/>
          </w:tcPr>
          <w:p w14:paraId="50066C9F" w14:textId="77777777" w:rsidR="00B457AD" w:rsidRDefault="00DF7AB4">
            <w:pPr>
              <w:pStyle w:val="NoSpacing"/>
              <w:jc w:val="center"/>
              <w:rPr>
                <w:sz w:val="20"/>
                <w:szCs w:val="20"/>
              </w:rPr>
            </w:pPr>
            <w:r>
              <w:rPr>
                <w:sz w:val="20"/>
                <w:szCs w:val="20"/>
              </w:rPr>
              <w:t>0.47</w:t>
            </w:r>
          </w:p>
        </w:tc>
      </w:tr>
      <w:tr w:rsidR="00B457AD" w14:paraId="05B51FC7" w14:textId="77777777">
        <w:trPr>
          <w:jc w:val="center"/>
        </w:trPr>
        <w:tc>
          <w:tcPr>
            <w:tcW w:w="1509" w:type="dxa"/>
          </w:tcPr>
          <w:p w14:paraId="11081DD1" w14:textId="77777777" w:rsidR="00B457AD" w:rsidRDefault="00DF7AB4">
            <w:pPr>
              <w:pStyle w:val="NoSpacing"/>
              <w:jc w:val="center"/>
              <w:rPr>
                <w:rFonts w:eastAsia="微软雅黑"/>
                <w:iCs/>
                <w:sz w:val="20"/>
                <w:szCs w:val="20"/>
              </w:rPr>
            </w:pPr>
            <w:r>
              <w:rPr>
                <w:rFonts w:eastAsia="微软雅黑"/>
                <w:sz w:val="20"/>
                <w:szCs w:val="20"/>
              </w:rPr>
              <w:t>Type II-rank4</w:t>
            </w:r>
          </w:p>
        </w:tc>
        <w:tc>
          <w:tcPr>
            <w:tcW w:w="1192" w:type="dxa"/>
          </w:tcPr>
          <w:p w14:paraId="7F6C9BF6" w14:textId="77777777" w:rsidR="00B457AD" w:rsidRDefault="00DF7AB4">
            <w:pPr>
              <w:pStyle w:val="NoSpacing"/>
              <w:jc w:val="center"/>
              <w:rPr>
                <w:sz w:val="20"/>
                <w:szCs w:val="20"/>
              </w:rPr>
            </w:pPr>
            <w:r>
              <w:rPr>
                <w:sz w:val="20"/>
                <w:szCs w:val="20"/>
              </w:rPr>
              <w:t>55.25</w:t>
            </w:r>
          </w:p>
          <w:p w14:paraId="04A81FB0" w14:textId="77777777" w:rsidR="00B457AD" w:rsidRDefault="00DF7AB4">
            <w:pPr>
              <w:pStyle w:val="NoSpacing"/>
              <w:jc w:val="center"/>
              <w:rPr>
                <w:rFonts w:eastAsia="微软雅黑"/>
                <w:iCs/>
                <w:sz w:val="20"/>
                <w:szCs w:val="20"/>
              </w:rPr>
            </w:pPr>
            <w:r>
              <w:rPr>
                <w:rFonts w:eastAsia="微软雅黑"/>
                <w:iCs/>
                <w:sz w:val="20"/>
                <w:szCs w:val="20"/>
              </w:rPr>
              <w:t>(</w:t>
            </w:r>
            <w:r>
              <w:rPr>
                <w:sz w:val="20"/>
                <w:szCs w:val="20"/>
              </w:rPr>
              <w:t>17.60</w:t>
            </w:r>
            <w:r>
              <w:rPr>
                <w:rFonts w:eastAsia="微软雅黑"/>
                <w:iCs/>
                <w:sz w:val="20"/>
                <w:szCs w:val="20"/>
              </w:rPr>
              <w:t>%)</w:t>
            </w:r>
          </w:p>
        </w:tc>
        <w:tc>
          <w:tcPr>
            <w:tcW w:w="1238" w:type="dxa"/>
          </w:tcPr>
          <w:p w14:paraId="40D44508" w14:textId="77777777" w:rsidR="00B457AD" w:rsidRDefault="00DF7AB4">
            <w:pPr>
              <w:pStyle w:val="NoSpacing"/>
              <w:jc w:val="center"/>
              <w:rPr>
                <w:sz w:val="20"/>
                <w:szCs w:val="20"/>
              </w:rPr>
            </w:pPr>
            <w:r>
              <w:rPr>
                <w:sz w:val="20"/>
                <w:szCs w:val="20"/>
              </w:rPr>
              <w:t>18.97</w:t>
            </w:r>
          </w:p>
          <w:p w14:paraId="2A69102F" w14:textId="77777777" w:rsidR="00B457AD" w:rsidRDefault="00DF7AB4">
            <w:pPr>
              <w:pStyle w:val="NoSpacing"/>
              <w:jc w:val="center"/>
              <w:rPr>
                <w:rFonts w:eastAsia="微软雅黑"/>
                <w:iCs/>
                <w:sz w:val="20"/>
                <w:szCs w:val="20"/>
              </w:rPr>
            </w:pPr>
            <w:r>
              <w:rPr>
                <w:rFonts w:eastAsia="微软雅黑"/>
                <w:iCs/>
                <w:sz w:val="20"/>
                <w:szCs w:val="20"/>
              </w:rPr>
              <w:t>(-</w:t>
            </w:r>
            <w:r>
              <w:rPr>
                <w:sz w:val="20"/>
                <w:szCs w:val="20"/>
              </w:rPr>
              <w:t>16.66</w:t>
            </w:r>
            <w:r>
              <w:rPr>
                <w:rFonts w:eastAsia="微软雅黑"/>
                <w:iCs/>
                <w:sz w:val="20"/>
                <w:szCs w:val="20"/>
              </w:rPr>
              <w:t>%)</w:t>
            </w:r>
          </w:p>
        </w:tc>
        <w:tc>
          <w:tcPr>
            <w:tcW w:w="1215" w:type="dxa"/>
          </w:tcPr>
          <w:p w14:paraId="1B9EB178" w14:textId="77777777" w:rsidR="00B457AD" w:rsidRDefault="00DF7AB4">
            <w:pPr>
              <w:pStyle w:val="NoSpacing"/>
              <w:jc w:val="center"/>
              <w:rPr>
                <w:sz w:val="20"/>
                <w:szCs w:val="20"/>
              </w:rPr>
            </w:pPr>
            <w:r>
              <w:rPr>
                <w:sz w:val="20"/>
                <w:szCs w:val="20"/>
              </w:rPr>
              <w:t>52.63</w:t>
            </w:r>
          </w:p>
          <w:p w14:paraId="320B0CA1" w14:textId="77777777" w:rsidR="00B457AD" w:rsidRDefault="00DF7AB4">
            <w:pPr>
              <w:pStyle w:val="NoSpacing"/>
              <w:jc w:val="center"/>
              <w:rPr>
                <w:rFonts w:eastAsia="微软雅黑"/>
                <w:iCs/>
                <w:sz w:val="20"/>
                <w:szCs w:val="20"/>
              </w:rPr>
            </w:pPr>
            <w:r>
              <w:rPr>
                <w:rFonts w:eastAsia="微软雅黑"/>
                <w:iCs/>
                <w:sz w:val="20"/>
                <w:szCs w:val="20"/>
              </w:rPr>
              <w:t>(</w:t>
            </w:r>
            <w:r>
              <w:rPr>
                <w:sz w:val="20"/>
                <w:szCs w:val="20"/>
              </w:rPr>
              <w:t>7.89</w:t>
            </w:r>
            <w:r>
              <w:rPr>
                <w:rFonts w:eastAsia="微软雅黑"/>
                <w:iCs/>
                <w:sz w:val="20"/>
                <w:szCs w:val="20"/>
              </w:rPr>
              <w:t>%)</w:t>
            </w:r>
          </w:p>
        </w:tc>
        <w:tc>
          <w:tcPr>
            <w:tcW w:w="1245" w:type="dxa"/>
          </w:tcPr>
          <w:p w14:paraId="6CF053A1" w14:textId="77777777" w:rsidR="00B457AD" w:rsidRDefault="00DF7AB4">
            <w:pPr>
              <w:pStyle w:val="NoSpacing"/>
              <w:jc w:val="center"/>
              <w:rPr>
                <w:sz w:val="20"/>
                <w:szCs w:val="20"/>
              </w:rPr>
            </w:pPr>
            <w:r>
              <w:rPr>
                <w:sz w:val="20"/>
                <w:szCs w:val="20"/>
              </w:rPr>
              <w:t>100.62</w:t>
            </w:r>
          </w:p>
          <w:p w14:paraId="5AC52AD8" w14:textId="77777777" w:rsidR="00B457AD" w:rsidRDefault="00DF7AB4">
            <w:pPr>
              <w:pStyle w:val="NoSpacing"/>
              <w:jc w:val="center"/>
              <w:rPr>
                <w:rFonts w:eastAsia="微软雅黑"/>
                <w:iCs/>
                <w:sz w:val="20"/>
                <w:szCs w:val="20"/>
              </w:rPr>
            </w:pPr>
            <w:r>
              <w:rPr>
                <w:rFonts w:eastAsia="微软雅黑"/>
                <w:iCs/>
                <w:sz w:val="20"/>
                <w:szCs w:val="20"/>
              </w:rPr>
              <w:t>(</w:t>
            </w:r>
            <w:r>
              <w:rPr>
                <w:sz w:val="20"/>
                <w:szCs w:val="20"/>
              </w:rPr>
              <w:t>58.48</w:t>
            </w:r>
            <w:r>
              <w:rPr>
                <w:rFonts w:eastAsia="微软雅黑"/>
                <w:iCs/>
                <w:sz w:val="20"/>
                <w:szCs w:val="20"/>
              </w:rPr>
              <w:t>%)</w:t>
            </w:r>
          </w:p>
        </w:tc>
        <w:tc>
          <w:tcPr>
            <w:tcW w:w="1162" w:type="dxa"/>
          </w:tcPr>
          <w:p w14:paraId="590974E9" w14:textId="77777777" w:rsidR="00B457AD" w:rsidRDefault="00DF7AB4">
            <w:pPr>
              <w:pStyle w:val="NoSpacing"/>
              <w:jc w:val="center"/>
              <w:rPr>
                <w:rFonts w:eastAsia="微软雅黑"/>
                <w:iCs/>
                <w:sz w:val="20"/>
                <w:szCs w:val="20"/>
              </w:rPr>
            </w:pPr>
            <w:r>
              <w:rPr>
                <w:rFonts w:eastAsia="微软雅黑"/>
                <w:iCs/>
                <w:sz w:val="20"/>
                <w:szCs w:val="20"/>
              </w:rPr>
              <w:t>0.46</w:t>
            </w:r>
          </w:p>
          <w:p w14:paraId="5AD703AE" w14:textId="77777777" w:rsidR="00B457AD" w:rsidRDefault="00DF7AB4">
            <w:pPr>
              <w:pStyle w:val="NoSpacing"/>
              <w:jc w:val="center"/>
              <w:rPr>
                <w:rFonts w:eastAsia="微软雅黑"/>
                <w:iCs/>
                <w:sz w:val="20"/>
                <w:szCs w:val="20"/>
              </w:rPr>
            </w:pPr>
            <w:r>
              <w:rPr>
                <w:rFonts w:eastAsia="微软雅黑"/>
                <w:iCs/>
                <w:sz w:val="20"/>
                <w:szCs w:val="20"/>
              </w:rPr>
              <w:t>(-2.50%)</w:t>
            </w:r>
          </w:p>
        </w:tc>
      </w:tr>
    </w:tbl>
    <w:p w14:paraId="1090C88C"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lastRenderedPageBreak/>
        <w:t>It is see</w:t>
      </w:r>
      <w:r>
        <w:rPr>
          <w:rFonts w:eastAsia="微软雅黑"/>
          <w:sz w:val="20"/>
          <w:szCs w:val="20"/>
        </w:rPr>
        <w:t>n</w:t>
      </w:r>
      <w:r>
        <w:rPr>
          <w:rFonts w:eastAsia="微软雅黑" w:hint="eastAsia"/>
          <w:sz w:val="20"/>
          <w:szCs w:val="20"/>
        </w:rPr>
        <w:t xml:space="preserve"> from the above simulation results that for average throughput, </w:t>
      </w:r>
      <w:r>
        <w:rPr>
          <w:rFonts w:eastAsia="微软雅黑"/>
          <w:sz w:val="20"/>
          <w:szCs w:val="20"/>
        </w:rPr>
        <w:t xml:space="preserve">allowing </w:t>
      </w:r>
      <w:r>
        <w:rPr>
          <w:rFonts w:eastAsia="微软雅黑" w:hint="eastAsia"/>
          <w:sz w:val="20"/>
          <w:szCs w:val="20"/>
        </w:rPr>
        <w:t>rank 4 can achieve attractive gain over rank 2.</w:t>
      </w:r>
      <w:r>
        <w:rPr>
          <w:rFonts w:eastAsia="微软雅黑"/>
          <w:sz w:val="20"/>
          <w:szCs w:val="20"/>
        </w:rPr>
        <w:t xml:space="preserve"> However, for cell-edge UEs, rank 4 suffers large performance loss. The possible reason is that for cell-edge UEs, the channel estimation and CQI calculation may not be accurate, which causes too optimistic estimation on the rank value. The issue can be solved by UE specific configuration of the allowed RI values. For cell-edge UEs, gNB can forbid them to select higher ranks by RI restriction.</w:t>
      </w:r>
    </w:p>
    <w:p w14:paraId="1D6A5FA1" w14:textId="77777777" w:rsidR="00B457AD" w:rsidRDefault="00DF7AB4">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4: </w:t>
      </w:r>
      <w:r>
        <w:rPr>
          <w:rFonts w:eastAsia="微软雅黑"/>
          <w:i/>
          <w:sz w:val="20"/>
          <w:szCs w:val="20"/>
        </w:rPr>
        <w:t>Comparing Type II rank 4 and Type II rank 2, rank 4 achieves average throughput gain but suffers cell-edge throughput loss.</w:t>
      </w:r>
    </w:p>
    <w:p w14:paraId="14E362E1" w14:textId="77777777" w:rsidR="00B457AD" w:rsidRDefault="00DF7AB4">
      <w:pPr>
        <w:snapToGrid w:val="0"/>
        <w:spacing w:before="120" w:afterLines="50" w:after="120" w:line="240" w:lineRule="auto"/>
        <w:jc w:val="both"/>
        <w:rPr>
          <w:rFonts w:eastAsia="微软雅黑"/>
          <w:b/>
          <w:i/>
          <w:sz w:val="20"/>
          <w:szCs w:val="20"/>
        </w:rPr>
      </w:pPr>
      <w:r>
        <w:rPr>
          <w:rFonts w:eastAsia="微软雅黑" w:hint="eastAsia"/>
          <w:b/>
          <w:i/>
          <w:sz w:val="20"/>
          <w:szCs w:val="20"/>
        </w:rPr>
        <w:t xml:space="preserve">Proposal </w:t>
      </w:r>
      <w:r>
        <w:rPr>
          <w:rFonts w:eastAsia="微软雅黑"/>
          <w:b/>
          <w:i/>
          <w:sz w:val="20"/>
          <w:szCs w:val="20"/>
        </w:rPr>
        <w:t xml:space="preserve">6: </w:t>
      </w:r>
      <w:r>
        <w:rPr>
          <w:rFonts w:eastAsia="微软雅黑"/>
          <w:i/>
          <w:sz w:val="20"/>
          <w:szCs w:val="20"/>
        </w:rPr>
        <w:t>Extend Type II to rank 4 with RI restriction.</w:t>
      </w:r>
      <w:r>
        <w:rPr>
          <w:rFonts w:eastAsia="微软雅黑"/>
          <w:b/>
          <w:i/>
          <w:sz w:val="20"/>
          <w:szCs w:val="20"/>
        </w:rPr>
        <w:t xml:space="preserve"> </w:t>
      </w:r>
    </w:p>
    <w:p w14:paraId="72551ED6" w14:textId="77777777" w:rsidR="00B457AD" w:rsidRDefault="00DF7AB4">
      <w:pPr>
        <w:pStyle w:val="Heading1"/>
        <w:tabs>
          <w:tab w:val="clear" w:pos="432"/>
        </w:tabs>
        <w:snapToGrid w:val="0"/>
        <w:spacing w:beforeLines="50" w:before="120" w:afterLines="50" w:after="120"/>
        <w:ind w:left="431" w:hanging="431"/>
        <w:rPr>
          <w:sz w:val="28"/>
          <w:lang w:val="en-US"/>
        </w:rPr>
      </w:pPr>
      <w:r>
        <w:rPr>
          <w:sz w:val="28"/>
          <w:lang w:val="en-US"/>
        </w:rPr>
        <w:t>Conclusion</w:t>
      </w:r>
    </w:p>
    <w:p w14:paraId="468CF46C" w14:textId="77777777" w:rsidR="00B457AD" w:rsidRDefault="00DF7AB4">
      <w:pPr>
        <w:snapToGrid w:val="0"/>
        <w:spacing w:before="120" w:afterLines="50" w:after="120" w:line="240" w:lineRule="auto"/>
        <w:jc w:val="both"/>
        <w:rPr>
          <w:rFonts w:eastAsia="微软雅黑"/>
          <w:sz w:val="20"/>
          <w:szCs w:val="20"/>
        </w:rPr>
      </w:pPr>
      <w:r>
        <w:rPr>
          <w:rFonts w:eastAsia="微软雅黑" w:hint="eastAsia"/>
          <w:sz w:val="20"/>
          <w:szCs w:val="20"/>
        </w:rPr>
        <w:t>In this contribution,</w:t>
      </w:r>
      <w:r>
        <w:rPr>
          <w:rFonts w:eastAsia="微软雅黑"/>
          <w:sz w:val="20"/>
          <w:szCs w:val="20"/>
        </w:rPr>
        <w:t xml:space="preserve"> we discuss remaining issues in Type II enhancement for MU-MIMO. Based on the discussion, we have the following observations and proposals.</w:t>
      </w:r>
    </w:p>
    <w:p w14:paraId="2889B6AA" w14:textId="77777777" w:rsidR="00B457AD" w:rsidRDefault="00DF7AB4">
      <w:pPr>
        <w:snapToGrid w:val="0"/>
        <w:spacing w:before="120" w:afterLines="50" w:after="120" w:line="240" w:lineRule="auto"/>
        <w:jc w:val="both"/>
        <w:rPr>
          <w:rFonts w:eastAsia="微软雅黑"/>
          <w:i/>
          <w:sz w:val="20"/>
          <w:szCs w:val="20"/>
        </w:rPr>
      </w:pPr>
      <w:r>
        <w:rPr>
          <w:rFonts w:eastAsia="微软雅黑" w:hint="eastAsia"/>
          <w:b/>
          <w:i/>
          <w:sz w:val="20"/>
          <w:szCs w:val="20"/>
        </w:rPr>
        <w:t>Observation 1:</w:t>
      </w:r>
      <w:r>
        <w:rPr>
          <w:rFonts w:eastAsia="微软雅黑" w:hint="eastAsia"/>
          <w:i/>
          <w:sz w:val="20"/>
          <w:szCs w:val="20"/>
        </w:rPr>
        <w:t xml:space="preserve"> </w:t>
      </w:r>
      <w:r>
        <w:rPr>
          <w:rFonts w:eastAsia="微软雅黑"/>
          <w:i/>
          <w:sz w:val="20"/>
          <w:szCs w:val="20"/>
        </w:rPr>
        <w:t>NR Rel-15 CSI reporting band configuration can achieve semi-static overhead reduction for Type II feedback.</w:t>
      </w:r>
    </w:p>
    <w:p w14:paraId="46317305" w14:textId="77777777" w:rsidR="00B457AD" w:rsidRDefault="00DF7AB4">
      <w:pPr>
        <w:snapToGrid w:val="0"/>
        <w:spacing w:before="120" w:afterLines="50" w:after="120" w:line="240" w:lineRule="auto"/>
        <w:jc w:val="both"/>
        <w:rPr>
          <w:rFonts w:eastAsia="微软雅黑"/>
          <w:i/>
          <w:sz w:val="20"/>
          <w:szCs w:val="20"/>
        </w:rPr>
      </w:pPr>
      <w:r>
        <w:rPr>
          <w:rFonts w:eastAsia="微软雅黑" w:hint="eastAsia"/>
          <w:b/>
          <w:i/>
          <w:sz w:val="20"/>
          <w:szCs w:val="20"/>
        </w:rPr>
        <w:t xml:space="preserve">Observation </w:t>
      </w:r>
      <w:r>
        <w:rPr>
          <w:rFonts w:eastAsia="微软雅黑"/>
          <w:b/>
          <w:i/>
          <w:sz w:val="20"/>
          <w:szCs w:val="20"/>
        </w:rPr>
        <w:t>2</w:t>
      </w:r>
      <w:r>
        <w:rPr>
          <w:rFonts w:eastAsia="微软雅黑" w:hint="eastAsia"/>
          <w:b/>
          <w:i/>
          <w:sz w:val="20"/>
          <w:szCs w:val="20"/>
        </w:rPr>
        <w:t>:</w:t>
      </w:r>
      <w:r>
        <w:rPr>
          <w:rFonts w:eastAsia="微软雅黑" w:hint="eastAsia"/>
          <w:i/>
          <w:sz w:val="20"/>
          <w:szCs w:val="20"/>
        </w:rPr>
        <w:t xml:space="preserve"> </w:t>
      </w:r>
      <w:r>
        <w:rPr>
          <w:rFonts w:eastAsia="微软雅黑"/>
          <w:i/>
          <w:sz w:val="20"/>
          <w:szCs w:val="20"/>
        </w:rPr>
        <w:t>NR Rel-15 partial CSI omission can achieve dynamic overhead reduction for Type II feedback.</w:t>
      </w:r>
    </w:p>
    <w:p w14:paraId="721669CB" w14:textId="77777777" w:rsidR="00B457AD" w:rsidRDefault="00DF7AB4">
      <w:pPr>
        <w:snapToGrid w:val="0"/>
        <w:spacing w:before="120" w:afterLines="50" w:after="120" w:line="240" w:lineRule="auto"/>
        <w:jc w:val="both"/>
        <w:rPr>
          <w:rFonts w:eastAsia="微软雅黑"/>
          <w:i/>
          <w:sz w:val="20"/>
          <w:szCs w:val="20"/>
        </w:rPr>
      </w:pPr>
      <w:r>
        <w:rPr>
          <w:rFonts w:eastAsia="微软雅黑"/>
          <w:b/>
          <w:i/>
          <w:sz w:val="20"/>
          <w:szCs w:val="20"/>
        </w:rPr>
        <w:t xml:space="preserve">Proposal 1: </w:t>
      </w:r>
      <w:r>
        <w:rPr>
          <w:rFonts w:eastAsia="微软雅黑"/>
          <w:i/>
          <w:sz w:val="20"/>
          <w:szCs w:val="20"/>
        </w:rPr>
        <w:t>Enhancements for Type II overhead reduction shall consider the overhead reduction mechanism in Rel-15 as a baseline</w:t>
      </w:r>
    </w:p>
    <w:p w14:paraId="60E58EEC" w14:textId="77777777" w:rsidR="00B457AD" w:rsidRDefault="00DF7AB4">
      <w:pPr>
        <w:pStyle w:val="ListParagraph"/>
        <w:numPr>
          <w:ilvl w:val="0"/>
          <w:numId w:val="5"/>
        </w:numPr>
        <w:snapToGrid w:val="0"/>
        <w:spacing w:before="120" w:afterLines="50" w:after="120"/>
        <w:ind w:leftChars="0"/>
        <w:jc w:val="both"/>
        <w:rPr>
          <w:rFonts w:eastAsia="微软雅黑"/>
          <w:i/>
          <w:szCs w:val="20"/>
        </w:rPr>
      </w:pPr>
      <w:r>
        <w:rPr>
          <w:rFonts w:eastAsia="微软雅黑" w:hint="eastAsia"/>
          <w:i/>
          <w:szCs w:val="20"/>
        </w:rPr>
        <w:t xml:space="preserve">Rel-15 overhead reduction mechanism </w:t>
      </w:r>
      <w:r>
        <w:rPr>
          <w:rFonts w:eastAsia="微软雅黑"/>
          <w:i/>
          <w:szCs w:val="20"/>
        </w:rPr>
        <w:t>includes flexible CSI reporting band configuration and partial CSI omission.</w:t>
      </w:r>
    </w:p>
    <w:p w14:paraId="61A8EF70" w14:textId="77777777" w:rsidR="00B457AD" w:rsidRDefault="00DF7AB4">
      <w:pPr>
        <w:snapToGrid w:val="0"/>
        <w:spacing w:before="120" w:afterLines="50" w:after="120" w:line="240" w:lineRule="auto"/>
        <w:jc w:val="both"/>
        <w:rPr>
          <w:rFonts w:eastAsia="微软雅黑"/>
          <w:i/>
          <w:sz w:val="20"/>
          <w:szCs w:val="20"/>
        </w:rPr>
      </w:pPr>
      <w:r>
        <w:rPr>
          <w:rFonts w:eastAsia="微软雅黑"/>
          <w:b/>
          <w:i/>
          <w:sz w:val="20"/>
          <w:szCs w:val="20"/>
        </w:rPr>
        <w:t>Proposal 2:</w:t>
      </w:r>
      <w:r>
        <w:rPr>
          <w:rFonts w:eastAsia="微软雅黑"/>
          <w:i/>
          <w:sz w:val="20"/>
          <w:szCs w:val="20"/>
        </w:rPr>
        <w:t xml:space="preserve"> Both semi-static overhead reduction and dynamic overhead reduction should be considered in Rel-16.</w:t>
      </w:r>
    </w:p>
    <w:p w14:paraId="28F6979F" w14:textId="77777777" w:rsidR="00B457AD" w:rsidRDefault="00DF7AB4">
      <w:pPr>
        <w:pStyle w:val="ListParagraph"/>
        <w:numPr>
          <w:ilvl w:val="0"/>
          <w:numId w:val="5"/>
        </w:numPr>
        <w:snapToGrid w:val="0"/>
        <w:spacing w:before="120" w:afterLines="50" w:after="120"/>
        <w:ind w:leftChars="0"/>
        <w:jc w:val="both"/>
        <w:rPr>
          <w:rFonts w:eastAsia="微软雅黑"/>
          <w:i/>
          <w:szCs w:val="20"/>
        </w:rPr>
      </w:pPr>
      <w:r>
        <w:rPr>
          <w:rFonts w:ascii="Times New Roman" w:eastAsia="微软雅黑" w:hAnsi="Times New Roman" w:cs="Times New Roman"/>
          <w:i/>
          <w:szCs w:val="20"/>
          <w:lang w:val="en-US"/>
        </w:rPr>
        <w:t>Overhead reduction should focus on using frequency-domain correlation of the combination coefficients.</w:t>
      </w:r>
    </w:p>
    <w:p w14:paraId="172372E0" w14:textId="77777777" w:rsidR="00B457AD" w:rsidRDefault="00DF7AB4">
      <w:pPr>
        <w:pStyle w:val="ListParagraph"/>
        <w:snapToGrid w:val="0"/>
        <w:spacing w:before="120" w:afterLines="50" w:after="120"/>
        <w:ind w:leftChars="0" w:left="0" w:firstLine="0"/>
        <w:jc w:val="both"/>
        <w:rPr>
          <w:rFonts w:eastAsia="微软雅黑"/>
          <w:i/>
          <w:szCs w:val="20"/>
        </w:rPr>
      </w:pPr>
      <w:r>
        <w:rPr>
          <w:rFonts w:eastAsia="微软雅黑"/>
          <w:b/>
          <w:i/>
          <w:szCs w:val="20"/>
        </w:rPr>
        <w:t xml:space="preserve">Proposal </w:t>
      </w:r>
      <w:r>
        <w:rPr>
          <w:rFonts w:eastAsia="微软雅黑" w:hint="eastAsia"/>
          <w:b/>
          <w:i/>
          <w:szCs w:val="20"/>
          <w:lang w:val="en-US"/>
        </w:rPr>
        <w:t>3</w:t>
      </w:r>
      <w:r>
        <w:rPr>
          <w:rFonts w:eastAsia="微软雅黑"/>
          <w:b/>
          <w:i/>
          <w:szCs w:val="20"/>
        </w:rPr>
        <w:t>:</w:t>
      </w:r>
      <w:r>
        <w:rPr>
          <w:rFonts w:eastAsia="微软雅黑"/>
          <w:i/>
          <w:szCs w:val="20"/>
        </w:rPr>
        <w:t xml:space="preserve"> Adopt the following </w:t>
      </w:r>
      <w:r>
        <w:rPr>
          <w:rFonts w:eastAsia="微软雅黑" w:hint="eastAsia"/>
          <w:i/>
          <w:szCs w:val="20"/>
        </w:rPr>
        <w:t>metrics</w:t>
      </w:r>
      <w:r>
        <w:rPr>
          <w:rFonts w:eastAsia="微软雅黑"/>
          <w:i/>
          <w:szCs w:val="20"/>
        </w:rPr>
        <w:t xml:space="preserve"> for the evaluation of different overhead reduction schemes</w:t>
      </w:r>
    </w:p>
    <w:p w14:paraId="45FAB31F" w14:textId="77777777" w:rsidR="00B457AD" w:rsidRDefault="00DF7AB4">
      <w:pPr>
        <w:pStyle w:val="ListParagraph"/>
        <w:numPr>
          <w:ilvl w:val="0"/>
          <w:numId w:val="5"/>
        </w:numPr>
        <w:snapToGrid w:val="0"/>
        <w:spacing w:before="120" w:afterLines="50" w:after="120"/>
        <w:ind w:leftChars="0"/>
        <w:jc w:val="both"/>
        <w:rPr>
          <w:rFonts w:eastAsia="微软雅黑"/>
          <w:i/>
          <w:szCs w:val="20"/>
        </w:rPr>
      </w:pPr>
      <w:r>
        <w:rPr>
          <w:rFonts w:eastAsia="微软雅黑"/>
          <w:i/>
          <w:szCs w:val="20"/>
        </w:rPr>
        <w:t>Throughput including average and cell-edge</w:t>
      </w:r>
    </w:p>
    <w:p w14:paraId="3DB68B7F" w14:textId="77777777" w:rsidR="00B457AD" w:rsidRDefault="00DF7AB4">
      <w:pPr>
        <w:pStyle w:val="ListParagraph"/>
        <w:numPr>
          <w:ilvl w:val="0"/>
          <w:numId w:val="5"/>
        </w:numPr>
        <w:snapToGrid w:val="0"/>
        <w:spacing w:before="120" w:afterLines="50" w:after="120"/>
        <w:ind w:leftChars="0"/>
        <w:jc w:val="both"/>
        <w:rPr>
          <w:rFonts w:eastAsia="微软雅黑"/>
          <w:i/>
          <w:szCs w:val="20"/>
        </w:rPr>
      </w:pPr>
      <w:r>
        <w:rPr>
          <w:rFonts w:eastAsia="微软雅黑"/>
          <w:i/>
          <w:szCs w:val="20"/>
        </w:rPr>
        <w:t>Overhead and/or ratio between throughput and overhead.</w:t>
      </w:r>
    </w:p>
    <w:p w14:paraId="1F125BCF" w14:textId="77777777" w:rsidR="00B457AD" w:rsidRDefault="00DF7AB4">
      <w:pPr>
        <w:pStyle w:val="ListParagraph"/>
        <w:snapToGrid w:val="0"/>
        <w:spacing w:before="120" w:afterLines="50" w:after="120"/>
        <w:ind w:leftChars="0" w:left="0" w:firstLine="0"/>
        <w:jc w:val="both"/>
        <w:rPr>
          <w:rFonts w:ascii="Times New Roman" w:eastAsia="微软雅黑" w:hAnsi="Times New Roman" w:cs="Times New Roman"/>
          <w:b/>
          <w:i/>
          <w:szCs w:val="20"/>
          <w:lang w:val="en-US"/>
        </w:rPr>
      </w:pPr>
      <w:r>
        <w:rPr>
          <w:rFonts w:ascii="Times New Roman" w:eastAsia="微软雅黑" w:hAnsi="Times New Roman" w:cs="Times New Roman" w:hint="eastAsia"/>
          <w:b/>
          <w:i/>
          <w:szCs w:val="20"/>
          <w:lang w:val="en-US"/>
        </w:rPr>
        <w:t xml:space="preserve">Observation </w:t>
      </w:r>
      <w:r>
        <w:rPr>
          <w:rFonts w:ascii="Times New Roman" w:eastAsia="微软雅黑" w:hAnsi="Times New Roman" w:cs="Times New Roman"/>
          <w:b/>
          <w:i/>
          <w:szCs w:val="20"/>
          <w:lang w:val="en-US"/>
        </w:rPr>
        <w:t xml:space="preserve">3: </w:t>
      </w:r>
    </w:p>
    <w:p w14:paraId="1E58D16B" w14:textId="77777777" w:rsidR="00B457AD" w:rsidRDefault="00DF7AB4">
      <w:pPr>
        <w:pStyle w:val="ListParagraph"/>
        <w:numPr>
          <w:ilvl w:val="0"/>
          <w:numId w:val="5"/>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Type II with differential coding on sub-band phase achieves very good performance on the ratio between through/overhead.</w:t>
      </w:r>
    </w:p>
    <w:p w14:paraId="5066B8B5" w14:textId="77777777" w:rsidR="00B457AD" w:rsidRDefault="00DF7AB4">
      <w:pPr>
        <w:pStyle w:val="ListParagraph"/>
        <w:numPr>
          <w:ilvl w:val="0"/>
          <w:numId w:val="5"/>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The proposed SVD based Type II report achieves quite small performance loss compared to the legacy Type II.</w:t>
      </w:r>
    </w:p>
    <w:p w14:paraId="0FC8D27F" w14:textId="77777777" w:rsidR="00B457AD" w:rsidRDefault="00DF7AB4">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4: </w:t>
      </w:r>
      <w:r>
        <w:rPr>
          <w:rFonts w:eastAsia="微软雅黑"/>
          <w:i/>
          <w:sz w:val="20"/>
          <w:szCs w:val="20"/>
        </w:rPr>
        <w:t>Comparing Type II rank 4 and Type II rank 2, rank 4 achieves average throughput gain but suffers cell-edge throughput loss.</w:t>
      </w:r>
    </w:p>
    <w:p w14:paraId="26400457" w14:textId="77777777" w:rsidR="00B457AD" w:rsidRDefault="00DF7AB4">
      <w:pPr>
        <w:snapToGrid w:val="0"/>
        <w:spacing w:before="120" w:afterLines="50" w:after="120" w:line="240" w:lineRule="auto"/>
        <w:jc w:val="both"/>
        <w:rPr>
          <w:rFonts w:eastAsia="微软雅黑"/>
          <w:b/>
          <w:i/>
          <w:sz w:val="20"/>
          <w:szCs w:val="20"/>
        </w:rPr>
      </w:pPr>
      <w:r>
        <w:rPr>
          <w:rFonts w:eastAsia="微软雅黑" w:hint="eastAsia"/>
          <w:b/>
          <w:i/>
          <w:sz w:val="20"/>
          <w:szCs w:val="20"/>
        </w:rPr>
        <w:t xml:space="preserve">Proposal </w:t>
      </w:r>
      <w:r>
        <w:rPr>
          <w:rFonts w:eastAsia="微软雅黑"/>
          <w:b/>
          <w:i/>
          <w:sz w:val="20"/>
          <w:szCs w:val="20"/>
        </w:rPr>
        <w:t xml:space="preserve">6: </w:t>
      </w:r>
      <w:r>
        <w:rPr>
          <w:rFonts w:eastAsia="微软雅黑"/>
          <w:i/>
          <w:sz w:val="20"/>
          <w:szCs w:val="20"/>
        </w:rPr>
        <w:t>Extend Type II to rank 4 with RI restriction.</w:t>
      </w:r>
      <w:r>
        <w:rPr>
          <w:rFonts w:eastAsia="微软雅黑"/>
          <w:b/>
          <w:i/>
          <w:sz w:val="20"/>
          <w:szCs w:val="20"/>
        </w:rPr>
        <w:t xml:space="preserve"> </w:t>
      </w:r>
    </w:p>
    <w:p w14:paraId="00F34BE9" w14:textId="77777777" w:rsidR="00B457AD" w:rsidRDefault="00DF7AB4">
      <w:pPr>
        <w:pStyle w:val="Heading1"/>
        <w:tabs>
          <w:tab w:val="clear" w:pos="432"/>
        </w:tabs>
        <w:snapToGrid w:val="0"/>
        <w:spacing w:beforeLines="50" w:before="120" w:afterLines="50" w:after="120"/>
        <w:ind w:left="431" w:hanging="431"/>
        <w:rPr>
          <w:sz w:val="28"/>
          <w:lang w:val="en-US"/>
        </w:rPr>
      </w:pPr>
      <w:r>
        <w:rPr>
          <w:sz w:val="28"/>
          <w:lang w:val="en-US"/>
        </w:rPr>
        <w:t xml:space="preserve">References </w:t>
      </w:r>
    </w:p>
    <w:p w14:paraId="10B3D601" w14:textId="77777777" w:rsidR="00B457AD" w:rsidRDefault="00DF7AB4">
      <w:pPr>
        <w:pStyle w:val="NoSpacing1"/>
        <w:snapToGrid w:val="0"/>
        <w:rPr>
          <w:sz w:val="20"/>
          <w:szCs w:val="20"/>
          <w:lang w:val="en-GB"/>
        </w:rPr>
      </w:pPr>
      <w:r>
        <w:rPr>
          <w:sz w:val="20"/>
          <w:szCs w:val="20"/>
        </w:rPr>
        <w:t xml:space="preserve">[1] RP-181453, </w:t>
      </w:r>
      <w:r>
        <w:rPr>
          <w:rFonts w:hint="eastAsia"/>
          <w:sz w:val="20"/>
          <w:szCs w:val="20"/>
          <w:lang w:val="en-GB"/>
        </w:rPr>
        <w:t>WI Proposal on NR MIMO Enhancements</w:t>
      </w:r>
      <w:r>
        <w:rPr>
          <w:sz w:val="20"/>
          <w:szCs w:val="20"/>
          <w:lang w:val="en-GB"/>
        </w:rPr>
        <w:t>, Samsung</w:t>
      </w:r>
    </w:p>
    <w:p w14:paraId="5E25AC38" w14:textId="77777777" w:rsidR="00B457AD" w:rsidRDefault="00DF7AB4">
      <w:pPr>
        <w:pStyle w:val="NoSpacing1"/>
        <w:snapToGrid w:val="0"/>
        <w:rPr>
          <w:bCs/>
          <w:sz w:val="20"/>
          <w:szCs w:val="20"/>
        </w:rPr>
      </w:pPr>
      <w:r>
        <w:rPr>
          <w:sz w:val="20"/>
          <w:szCs w:val="20"/>
          <w:lang w:val="en-GB"/>
        </w:rPr>
        <w:t xml:space="preserve">[2] </w:t>
      </w:r>
      <w:r>
        <w:rPr>
          <w:bCs/>
          <w:sz w:val="20"/>
          <w:szCs w:val="20"/>
        </w:rPr>
        <w:t>R1-17</w:t>
      </w:r>
      <w:r>
        <w:rPr>
          <w:rFonts w:hint="eastAsia"/>
          <w:bCs/>
          <w:sz w:val="20"/>
          <w:szCs w:val="20"/>
        </w:rPr>
        <w:t>15456</w:t>
      </w:r>
      <w:r>
        <w:rPr>
          <w:bCs/>
          <w:sz w:val="20"/>
          <w:szCs w:val="20"/>
        </w:rPr>
        <w:t xml:space="preserve">, </w:t>
      </w:r>
      <w:r>
        <w:rPr>
          <w:rFonts w:hint="eastAsia"/>
          <w:bCs/>
          <w:sz w:val="20"/>
          <w:szCs w:val="20"/>
        </w:rPr>
        <w:t>Overhead reduction for Type II CSI</w:t>
      </w:r>
      <w:r>
        <w:rPr>
          <w:bCs/>
          <w:sz w:val="20"/>
          <w:szCs w:val="20"/>
        </w:rPr>
        <w:t>, ZTE</w:t>
      </w:r>
    </w:p>
    <w:p w14:paraId="664CCD1A" w14:textId="77777777" w:rsidR="00B457AD" w:rsidRDefault="00DF7AB4">
      <w:pPr>
        <w:pStyle w:val="NoSpacing1"/>
        <w:snapToGrid w:val="0"/>
        <w:rPr>
          <w:bCs/>
          <w:sz w:val="20"/>
          <w:szCs w:val="20"/>
        </w:rPr>
      </w:pPr>
      <w:r>
        <w:rPr>
          <w:bCs/>
          <w:sz w:val="20"/>
          <w:szCs w:val="20"/>
        </w:rPr>
        <w:t xml:space="preserve">[3] R1-1717423, </w:t>
      </w:r>
      <w:r>
        <w:rPr>
          <w:rFonts w:hint="eastAsia"/>
          <w:bCs/>
          <w:sz w:val="20"/>
          <w:szCs w:val="20"/>
        </w:rPr>
        <w:t>Remaining details on CSI reporting</w:t>
      </w:r>
      <w:r>
        <w:rPr>
          <w:bCs/>
          <w:sz w:val="20"/>
          <w:szCs w:val="20"/>
        </w:rPr>
        <w:t>, ZTE</w:t>
      </w:r>
    </w:p>
    <w:p w14:paraId="2B653E0E" w14:textId="77777777" w:rsidR="00B457AD" w:rsidRDefault="00DF7AB4">
      <w:pPr>
        <w:pStyle w:val="Heading1"/>
        <w:tabs>
          <w:tab w:val="clear" w:pos="432"/>
        </w:tabs>
        <w:snapToGrid w:val="0"/>
        <w:spacing w:beforeLines="50" w:before="120" w:afterLines="50" w:after="120"/>
        <w:ind w:left="431" w:hanging="431"/>
        <w:rPr>
          <w:sz w:val="28"/>
          <w:lang w:val="en-US"/>
        </w:rPr>
      </w:pPr>
      <w:r>
        <w:rPr>
          <w:rFonts w:hint="eastAsia"/>
          <w:sz w:val="28"/>
          <w:lang w:val="en-US"/>
        </w:rPr>
        <w:t>Appendix</w:t>
      </w:r>
    </w:p>
    <w:p w14:paraId="660A703B" w14:textId="77777777" w:rsidR="00B457AD" w:rsidRDefault="00DF7AB4">
      <w:pPr>
        <w:snapToGrid w:val="0"/>
        <w:spacing w:before="120" w:afterLines="50" w:after="120" w:line="240" w:lineRule="auto"/>
        <w:jc w:val="center"/>
        <w:rPr>
          <w:rFonts w:eastAsia="微软雅黑"/>
          <w:sz w:val="20"/>
          <w:szCs w:val="20"/>
        </w:rPr>
      </w:pPr>
      <w:r>
        <w:rPr>
          <w:rFonts w:eastAsia="微软雅黑" w:hint="eastAsia"/>
          <w:sz w:val="20"/>
          <w:szCs w:val="20"/>
        </w:rPr>
        <w:t>Table 6.1 Simulation assumptions</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B457AD" w14:paraId="113F7CA4" w14:textId="77777777">
        <w:trPr>
          <w:tblCellSpacing w:w="0" w:type="dxa"/>
          <w:jc w:val="center"/>
        </w:trPr>
        <w:tc>
          <w:tcPr>
            <w:tcW w:w="7605" w:type="dxa"/>
            <w:gridSpan w:val="2"/>
            <w:shd w:val="clear" w:color="auto" w:fill="D8D8D8" w:themeFill="background1" w:themeFillShade="D8"/>
            <w:vAlign w:val="center"/>
          </w:tcPr>
          <w:p w14:paraId="39807CC6" w14:textId="77777777" w:rsidR="00B457AD" w:rsidRDefault="00DF7AB4">
            <w:pPr>
              <w:pStyle w:val="NoSpacing"/>
              <w:rPr>
                <w:rFonts w:eastAsia="Malgun Gothic"/>
                <w:sz w:val="20"/>
                <w:szCs w:val="20"/>
                <w:lang w:val="sv-SE"/>
              </w:rPr>
            </w:pPr>
            <w:r>
              <w:rPr>
                <w:rFonts w:eastAsia="Malgun Gothic"/>
                <w:sz w:val="20"/>
                <w:szCs w:val="20"/>
                <w:lang w:val="sv-SE"/>
              </w:rPr>
              <w:t>System level simulation parameters</w:t>
            </w:r>
          </w:p>
        </w:tc>
      </w:tr>
      <w:tr w:rsidR="00B457AD" w14:paraId="159BA345" w14:textId="77777777">
        <w:trPr>
          <w:tblCellSpacing w:w="0" w:type="dxa"/>
          <w:jc w:val="center"/>
        </w:trPr>
        <w:tc>
          <w:tcPr>
            <w:tcW w:w="2769" w:type="dxa"/>
            <w:vAlign w:val="center"/>
          </w:tcPr>
          <w:p w14:paraId="4B9D68B5" w14:textId="77777777" w:rsidR="00B457AD" w:rsidRDefault="00DF7AB4">
            <w:pPr>
              <w:pStyle w:val="NoSpacing"/>
              <w:rPr>
                <w:rFonts w:eastAsia="Malgun Gothic"/>
                <w:sz w:val="20"/>
                <w:szCs w:val="20"/>
              </w:rPr>
            </w:pPr>
            <w:r>
              <w:rPr>
                <w:rFonts w:eastAsia="Malgun Gothic"/>
                <w:sz w:val="20"/>
                <w:szCs w:val="20"/>
              </w:rPr>
              <w:t>Scenarios</w:t>
            </w:r>
          </w:p>
        </w:tc>
        <w:tc>
          <w:tcPr>
            <w:tcW w:w="4836" w:type="dxa"/>
            <w:vAlign w:val="center"/>
          </w:tcPr>
          <w:p w14:paraId="70C6CC61" w14:textId="77777777" w:rsidR="00B457AD" w:rsidRDefault="00DF7AB4">
            <w:pPr>
              <w:pStyle w:val="NoSpacing"/>
              <w:rPr>
                <w:rFonts w:eastAsia="Malgun Gothic"/>
                <w:sz w:val="20"/>
                <w:szCs w:val="20"/>
              </w:rPr>
            </w:pPr>
            <w:r>
              <w:rPr>
                <w:rFonts w:eastAsia="Malgun Gothic"/>
                <w:sz w:val="20"/>
                <w:szCs w:val="20"/>
              </w:rPr>
              <w:t xml:space="preserve">TR38.901: </w:t>
            </w:r>
            <w:r>
              <w:rPr>
                <w:rFonts w:eastAsia="Malgun Gothic"/>
                <w:sz w:val="20"/>
                <w:szCs w:val="20"/>
                <w:lang w:val="sv-SE"/>
              </w:rPr>
              <w:t>3D-Umi</w:t>
            </w:r>
          </w:p>
        </w:tc>
      </w:tr>
      <w:tr w:rsidR="00B457AD" w14:paraId="00827CB6" w14:textId="77777777">
        <w:trPr>
          <w:tblCellSpacing w:w="0" w:type="dxa"/>
          <w:jc w:val="center"/>
        </w:trPr>
        <w:tc>
          <w:tcPr>
            <w:tcW w:w="2769" w:type="dxa"/>
            <w:vAlign w:val="center"/>
          </w:tcPr>
          <w:p w14:paraId="0ED355A0" w14:textId="77777777" w:rsidR="00B457AD" w:rsidRDefault="00DF7AB4">
            <w:pPr>
              <w:pStyle w:val="NoSpacing"/>
              <w:rPr>
                <w:rFonts w:eastAsia="Malgun Gothic"/>
                <w:sz w:val="20"/>
                <w:szCs w:val="20"/>
              </w:rPr>
            </w:pPr>
            <w:r>
              <w:rPr>
                <w:rFonts w:eastAsia="Malgun Gothic"/>
                <w:sz w:val="20"/>
                <w:szCs w:val="20"/>
                <w:lang w:eastAsia="ja-JP"/>
              </w:rPr>
              <w:t xml:space="preserve">Carrier frequency </w:t>
            </w:r>
          </w:p>
        </w:tc>
        <w:tc>
          <w:tcPr>
            <w:tcW w:w="4836" w:type="dxa"/>
            <w:vAlign w:val="center"/>
          </w:tcPr>
          <w:p w14:paraId="5C88A082" w14:textId="77777777" w:rsidR="00B457AD" w:rsidRDefault="00DF7AB4">
            <w:pPr>
              <w:pStyle w:val="NoSpacing"/>
              <w:rPr>
                <w:rFonts w:eastAsia="Malgun Gothic"/>
                <w:sz w:val="20"/>
                <w:szCs w:val="20"/>
              </w:rPr>
            </w:pPr>
            <w:r>
              <w:rPr>
                <w:rFonts w:eastAsia="Malgun Gothic"/>
                <w:sz w:val="20"/>
                <w:szCs w:val="20"/>
              </w:rPr>
              <w:t>4 GHz</w:t>
            </w:r>
          </w:p>
        </w:tc>
      </w:tr>
      <w:tr w:rsidR="00B457AD" w14:paraId="5D99CD1D" w14:textId="77777777">
        <w:trPr>
          <w:tblCellSpacing w:w="0" w:type="dxa"/>
          <w:jc w:val="center"/>
        </w:trPr>
        <w:tc>
          <w:tcPr>
            <w:tcW w:w="2769" w:type="dxa"/>
            <w:vAlign w:val="center"/>
          </w:tcPr>
          <w:p w14:paraId="28F711A8" w14:textId="77777777" w:rsidR="00B457AD" w:rsidRDefault="00DF7AB4">
            <w:pPr>
              <w:pStyle w:val="NoSpacing"/>
              <w:rPr>
                <w:rFonts w:eastAsia="Malgun Gothic"/>
                <w:sz w:val="20"/>
                <w:szCs w:val="20"/>
              </w:rPr>
            </w:pPr>
            <w:r>
              <w:rPr>
                <w:rFonts w:eastAsia="Malgun Gothic"/>
                <w:sz w:val="20"/>
                <w:szCs w:val="20"/>
                <w:lang w:eastAsia="ja-JP"/>
              </w:rPr>
              <w:t>Simulation bandwidth</w:t>
            </w:r>
          </w:p>
        </w:tc>
        <w:tc>
          <w:tcPr>
            <w:tcW w:w="4836" w:type="dxa"/>
            <w:vAlign w:val="center"/>
          </w:tcPr>
          <w:p w14:paraId="296D3512" w14:textId="77777777" w:rsidR="00B457AD" w:rsidRDefault="00DF7AB4">
            <w:pPr>
              <w:pStyle w:val="NoSpacing"/>
              <w:rPr>
                <w:rFonts w:eastAsia="Malgun Gothic"/>
                <w:sz w:val="20"/>
                <w:szCs w:val="20"/>
              </w:rPr>
            </w:pPr>
            <w:r>
              <w:rPr>
                <w:rFonts w:eastAsia="Malgun Gothic"/>
                <w:sz w:val="20"/>
                <w:szCs w:val="20"/>
              </w:rPr>
              <w:t>DL 10 MHz</w:t>
            </w:r>
          </w:p>
        </w:tc>
      </w:tr>
      <w:tr w:rsidR="00B457AD" w14:paraId="5A0B5DDE" w14:textId="77777777">
        <w:trPr>
          <w:tblCellSpacing w:w="0" w:type="dxa"/>
          <w:jc w:val="center"/>
        </w:trPr>
        <w:tc>
          <w:tcPr>
            <w:tcW w:w="2769" w:type="dxa"/>
            <w:vAlign w:val="center"/>
          </w:tcPr>
          <w:p w14:paraId="705EC45C" w14:textId="77777777" w:rsidR="00B457AD" w:rsidRDefault="00DF7AB4">
            <w:pPr>
              <w:pStyle w:val="NoSpacing"/>
              <w:rPr>
                <w:rFonts w:eastAsia="Malgun Gothic"/>
                <w:sz w:val="20"/>
                <w:szCs w:val="20"/>
              </w:rPr>
            </w:pPr>
            <w:r>
              <w:rPr>
                <w:rFonts w:eastAsia="Malgun Gothic"/>
                <w:sz w:val="20"/>
                <w:szCs w:val="20"/>
              </w:rPr>
              <w:t>SCS</w:t>
            </w:r>
          </w:p>
        </w:tc>
        <w:tc>
          <w:tcPr>
            <w:tcW w:w="4836" w:type="dxa"/>
            <w:vAlign w:val="center"/>
          </w:tcPr>
          <w:p w14:paraId="7E9FF873" w14:textId="77777777" w:rsidR="00B457AD" w:rsidRDefault="00DF7AB4">
            <w:pPr>
              <w:pStyle w:val="NoSpacing"/>
              <w:rPr>
                <w:rFonts w:eastAsia="Malgun Gothic"/>
                <w:sz w:val="20"/>
                <w:szCs w:val="20"/>
              </w:rPr>
            </w:pPr>
            <w:r>
              <w:rPr>
                <w:rFonts w:eastAsia="Malgun Gothic"/>
                <w:sz w:val="20"/>
                <w:szCs w:val="20"/>
              </w:rPr>
              <w:t>15KHz</w:t>
            </w:r>
          </w:p>
        </w:tc>
      </w:tr>
      <w:tr w:rsidR="00B457AD" w14:paraId="0F82BC2A" w14:textId="77777777">
        <w:trPr>
          <w:tblCellSpacing w:w="0" w:type="dxa"/>
          <w:jc w:val="center"/>
        </w:trPr>
        <w:tc>
          <w:tcPr>
            <w:tcW w:w="2769" w:type="dxa"/>
            <w:vAlign w:val="center"/>
          </w:tcPr>
          <w:p w14:paraId="011D04DD" w14:textId="77777777" w:rsidR="00B457AD" w:rsidRDefault="00DF7AB4">
            <w:pPr>
              <w:pStyle w:val="NoSpacing"/>
              <w:rPr>
                <w:rFonts w:eastAsia="Malgun Gothic"/>
                <w:sz w:val="20"/>
                <w:szCs w:val="20"/>
              </w:rPr>
            </w:pPr>
            <w:r>
              <w:rPr>
                <w:rFonts w:eastAsia="Malgun Gothic"/>
                <w:sz w:val="20"/>
                <w:szCs w:val="20"/>
              </w:rPr>
              <w:t>Antenna Spacing</w:t>
            </w:r>
          </w:p>
        </w:tc>
        <w:tc>
          <w:tcPr>
            <w:tcW w:w="4836" w:type="dxa"/>
            <w:vAlign w:val="center"/>
          </w:tcPr>
          <w:p w14:paraId="51504563" w14:textId="77777777" w:rsidR="00B457AD" w:rsidRDefault="00DF7AB4">
            <w:pPr>
              <w:pStyle w:val="NoSpacing"/>
              <w:rPr>
                <w:rFonts w:eastAsia="Malgun Gothic"/>
                <w:sz w:val="20"/>
                <w:szCs w:val="20"/>
              </w:rPr>
            </w:pPr>
            <w:r>
              <w:rPr>
                <w:rFonts w:eastAsia="Malgun Gothic"/>
                <w:sz w:val="20"/>
                <w:szCs w:val="20"/>
                <w:lang w:val="el-GR"/>
              </w:rPr>
              <w:t>(dV,dH)=(</w:t>
            </w:r>
            <w:r>
              <w:rPr>
                <w:rFonts w:eastAsia="Malgun Gothic"/>
                <w:sz w:val="20"/>
                <w:szCs w:val="20"/>
                <w:lang w:eastAsia="ko-KR"/>
              </w:rPr>
              <w:t xml:space="preserve"> 0.</w:t>
            </w:r>
            <w:r>
              <w:rPr>
                <w:rFonts w:eastAsia="Malgun Gothic"/>
                <w:sz w:val="20"/>
                <w:szCs w:val="20"/>
                <w:lang w:eastAsia="ja-JP"/>
              </w:rPr>
              <w:t>8</w:t>
            </w:r>
            <w:r>
              <w:rPr>
                <w:rFonts w:eastAsia="Malgun Gothic"/>
                <w:sz w:val="20"/>
                <w:szCs w:val="20"/>
              </w:rPr>
              <w:t>λ</w:t>
            </w:r>
            <w:r>
              <w:rPr>
                <w:rFonts w:eastAsia="Malgun Gothic"/>
                <w:sz w:val="20"/>
                <w:szCs w:val="20"/>
                <w:lang w:eastAsia="ko-KR"/>
              </w:rPr>
              <w:t>, 0.</w:t>
            </w:r>
            <w:r>
              <w:rPr>
                <w:rFonts w:eastAsia="Malgun Gothic"/>
                <w:sz w:val="20"/>
                <w:szCs w:val="20"/>
              </w:rPr>
              <w:t>5λ</w:t>
            </w:r>
            <w:r>
              <w:rPr>
                <w:rFonts w:eastAsia="Malgun Gothic"/>
                <w:sz w:val="20"/>
                <w:szCs w:val="20"/>
                <w:lang w:val="el-GR"/>
              </w:rPr>
              <w:t>)</w:t>
            </w:r>
          </w:p>
        </w:tc>
      </w:tr>
      <w:tr w:rsidR="00B457AD" w14:paraId="06603F20" w14:textId="77777777">
        <w:trPr>
          <w:tblCellSpacing w:w="0" w:type="dxa"/>
          <w:jc w:val="center"/>
        </w:trPr>
        <w:tc>
          <w:tcPr>
            <w:tcW w:w="2769" w:type="dxa"/>
            <w:vAlign w:val="center"/>
          </w:tcPr>
          <w:p w14:paraId="257943FE" w14:textId="77777777" w:rsidR="00B457AD" w:rsidRDefault="00DF7AB4">
            <w:pPr>
              <w:pStyle w:val="NoSpacing"/>
              <w:rPr>
                <w:rFonts w:eastAsia="Malgun Gothic"/>
                <w:sz w:val="20"/>
                <w:szCs w:val="20"/>
              </w:rPr>
            </w:pPr>
            <w:r>
              <w:rPr>
                <w:rFonts w:eastAsia="Malgun Gothic"/>
                <w:sz w:val="20"/>
                <w:szCs w:val="20"/>
              </w:rPr>
              <w:lastRenderedPageBreak/>
              <w:t xml:space="preserve">NB </w:t>
            </w:r>
            <w:r>
              <w:rPr>
                <w:rFonts w:eastAsia="Malgun Gothic"/>
                <w:sz w:val="20"/>
                <w:szCs w:val="20"/>
                <w:lang w:eastAsia="ja-JP"/>
              </w:rPr>
              <w:t>antenna configurations</w:t>
            </w:r>
          </w:p>
        </w:tc>
        <w:tc>
          <w:tcPr>
            <w:tcW w:w="4836" w:type="dxa"/>
            <w:vAlign w:val="center"/>
          </w:tcPr>
          <w:p w14:paraId="38322B9C" w14:textId="77777777" w:rsidR="00B457AD" w:rsidRDefault="00DF7AB4">
            <w:pPr>
              <w:pStyle w:val="NoSpacing"/>
              <w:rPr>
                <w:rFonts w:eastAsia="Malgun Gothic"/>
                <w:sz w:val="20"/>
                <w:szCs w:val="20"/>
              </w:rPr>
            </w:pPr>
            <w:r>
              <w:rPr>
                <w:rFonts w:eastAsia="Malgun Gothic"/>
                <w:sz w:val="20"/>
                <w:szCs w:val="20"/>
              </w:rPr>
              <w:t>For 32 ports:</w:t>
            </w:r>
          </w:p>
          <w:p w14:paraId="77BFCC52" w14:textId="77777777" w:rsidR="00B457AD" w:rsidRDefault="00DF7AB4">
            <w:pPr>
              <w:pStyle w:val="NoSpacing"/>
              <w:rPr>
                <w:rFonts w:eastAsia="Malgun Gothic"/>
                <w:sz w:val="20"/>
                <w:szCs w:val="20"/>
              </w:rPr>
            </w:pPr>
            <w:r>
              <w:rPr>
                <w:rFonts w:eastAsia="Malgun Gothic"/>
                <w:sz w:val="20"/>
                <w:szCs w:val="20"/>
              </w:rPr>
              <w:t>(MTXRU, NTXRU, P) = (2, 8, 2)</w:t>
            </w:r>
          </w:p>
          <w:p w14:paraId="140E5F07" w14:textId="77777777" w:rsidR="00B457AD" w:rsidRDefault="00DF7AB4">
            <w:pPr>
              <w:pStyle w:val="NoSpacing"/>
              <w:rPr>
                <w:rFonts w:eastAsia="Malgun Gothic"/>
                <w:sz w:val="20"/>
                <w:szCs w:val="20"/>
              </w:rPr>
            </w:pPr>
            <w:r>
              <w:rPr>
                <w:rFonts w:eastAsia="Malgun Gothic"/>
                <w:sz w:val="20"/>
                <w:szCs w:val="20"/>
              </w:rPr>
              <w:t>(</w:t>
            </w:r>
            <w:r>
              <w:rPr>
                <w:rFonts w:eastAsia="Malgun Gothic"/>
                <w:sz w:val="20"/>
                <w:szCs w:val="20"/>
                <w:lang w:eastAsia="ja-JP"/>
              </w:rPr>
              <w:t>M,N,P,Mg,Ng</w:t>
            </w:r>
            <w:r>
              <w:rPr>
                <w:rFonts w:eastAsia="Malgun Gothic"/>
                <w:sz w:val="20"/>
                <w:szCs w:val="20"/>
              </w:rPr>
              <w:t>)= (8,8,2,1,1)</w:t>
            </w:r>
          </w:p>
        </w:tc>
      </w:tr>
      <w:tr w:rsidR="00B457AD" w14:paraId="12564998" w14:textId="77777777">
        <w:trPr>
          <w:tblCellSpacing w:w="0" w:type="dxa"/>
          <w:jc w:val="center"/>
        </w:trPr>
        <w:tc>
          <w:tcPr>
            <w:tcW w:w="2769" w:type="dxa"/>
            <w:vAlign w:val="center"/>
          </w:tcPr>
          <w:p w14:paraId="35626F37" w14:textId="77777777" w:rsidR="00B457AD" w:rsidRDefault="00DF7AB4">
            <w:pPr>
              <w:pStyle w:val="NoSpacing"/>
              <w:rPr>
                <w:rFonts w:eastAsia="Malgun Gothic"/>
                <w:sz w:val="20"/>
                <w:szCs w:val="20"/>
              </w:rPr>
            </w:pPr>
            <w:r>
              <w:rPr>
                <w:rFonts w:eastAsia="Malgun Gothic"/>
                <w:sz w:val="20"/>
                <w:szCs w:val="20"/>
              </w:rPr>
              <w:t xml:space="preserve">UE </w:t>
            </w:r>
            <w:r>
              <w:rPr>
                <w:rFonts w:eastAsia="Malgun Gothic"/>
                <w:sz w:val="20"/>
                <w:szCs w:val="20"/>
                <w:lang w:eastAsia="ja-JP"/>
              </w:rPr>
              <w:t>antenna configurations</w:t>
            </w:r>
          </w:p>
        </w:tc>
        <w:tc>
          <w:tcPr>
            <w:tcW w:w="4836" w:type="dxa"/>
            <w:vAlign w:val="center"/>
          </w:tcPr>
          <w:p w14:paraId="1C515A7D" w14:textId="77777777" w:rsidR="00B457AD" w:rsidRDefault="00DF7AB4">
            <w:pPr>
              <w:pStyle w:val="NoSpacing"/>
              <w:rPr>
                <w:rFonts w:eastAsia="Malgun Gothic"/>
                <w:sz w:val="20"/>
                <w:szCs w:val="20"/>
              </w:rPr>
            </w:pPr>
            <w:r>
              <w:rPr>
                <w:rFonts w:eastAsia="Malgun Gothic"/>
                <w:sz w:val="20"/>
                <w:szCs w:val="20"/>
              </w:rPr>
              <w:t xml:space="preserve"> </w:t>
            </w:r>
            <w:r>
              <w:rPr>
                <w:rFonts w:eastAsia="Malgun Gothic"/>
                <w:sz w:val="20"/>
                <w:szCs w:val="20"/>
                <w:lang w:eastAsia="ja-JP"/>
              </w:rPr>
              <w:t>Isotropic antenna gain pattern</w:t>
            </w:r>
            <w:r>
              <w:rPr>
                <w:rFonts w:eastAsia="Malgun Gothic"/>
                <w:sz w:val="20"/>
                <w:szCs w:val="20"/>
              </w:rPr>
              <w:t>:</w:t>
            </w:r>
          </w:p>
          <w:p w14:paraId="78092827" w14:textId="77777777" w:rsidR="00B457AD" w:rsidRDefault="00DF7AB4">
            <w:pPr>
              <w:pStyle w:val="NoSpacing"/>
              <w:rPr>
                <w:rFonts w:eastAsia="Malgun Gothic"/>
                <w:sz w:val="20"/>
                <w:szCs w:val="20"/>
              </w:rPr>
            </w:pPr>
            <w:r>
              <w:rPr>
                <w:rFonts w:eastAsia="Malgun Gothic"/>
                <w:sz w:val="20"/>
                <w:szCs w:val="20"/>
              </w:rPr>
              <w:t>(M, N, P) = (1, 1, 2) or  (1, 2, 2)</w:t>
            </w:r>
          </w:p>
        </w:tc>
      </w:tr>
      <w:tr w:rsidR="00B457AD" w14:paraId="131B81B5" w14:textId="77777777">
        <w:trPr>
          <w:tblCellSpacing w:w="0" w:type="dxa"/>
          <w:jc w:val="center"/>
        </w:trPr>
        <w:tc>
          <w:tcPr>
            <w:tcW w:w="2769" w:type="dxa"/>
            <w:vAlign w:val="center"/>
          </w:tcPr>
          <w:p w14:paraId="13521594" w14:textId="77777777" w:rsidR="00B457AD" w:rsidRDefault="00DF7AB4">
            <w:pPr>
              <w:pStyle w:val="NoSpacing"/>
              <w:rPr>
                <w:sz w:val="20"/>
                <w:szCs w:val="20"/>
              </w:rPr>
            </w:pPr>
            <w:r>
              <w:rPr>
                <w:sz w:val="20"/>
                <w:szCs w:val="20"/>
              </w:rPr>
              <w:t>Transmission scheme</w:t>
            </w:r>
          </w:p>
        </w:tc>
        <w:tc>
          <w:tcPr>
            <w:tcW w:w="4836" w:type="dxa"/>
            <w:vAlign w:val="center"/>
          </w:tcPr>
          <w:p w14:paraId="4F127B92" w14:textId="77777777" w:rsidR="00B457AD" w:rsidRDefault="00DF7AB4">
            <w:pPr>
              <w:pStyle w:val="NoSpacing"/>
              <w:rPr>
                <w:sz w:val="20"/>
                <w:szCs w:val="20"/>
              </w:rPr>
            </w:pPr>
            <w:r>
              <w:rPr>
                <w:sz w:val="20"/>
                <w:szCs w:val="20"/>
              </w:rPr>
              <w:t>SU/MU-MIMO adaption with max rank 2/4, total 4/8 layers</w:t>
            </w:r>
          </w:p>
        </w:tc>
      </w:tr>
      <w:tr w:rsidR="00B457AD" w14:paraId="09ACB57A" w14:textId="77777777">
        <w:trPr>
          <w:tblCellSpacing w:w="0" w:type="dxa"/>
          <w:jc w:val="center"/>
        </w:trPr>
        <w:tc>
          <w:tcPr>
            <w:tcW w:w="2769" w:type="dxa"/>
            <w:vAlign w:val="center"/>
          </w:tcPr>
          <w:p w14:paraId="214BC549" w14:textId="77777777" w:rsidR="00B457AD" w:rsidRDefault="00DF7AB4">
            <w:pPr>
              <w:pStyle w:val="NoSpacing"/>
              <w:rPr>
                <w:rFonts w:eastAsia="Malgun Gothic"/>
                <w:sz w:val="20"/>
                <w:szCs w:val="20"/>
              </w:rPr>
            </w:pPr>
            <w:r>
              <w:rPr>
                <w:rFonts w:eastAsia="Malgun Gothic"/>
                <w:sz w:val="20"/>
                <w:szCs w:val="20"/>
              </w:rPr>
              <w:t>Traffic model</w:t>
            </w:r>
          </w:p>
        </w:tc>
        <w:tc>
          <w:tcPr>
            <w:tcW w:w="4836" w:type="dxa"/>
            <w:vAlign w:val="center"/>
          </w:tcPr>
          <w:p w14:paraId="72DC54C3" w14:textId="77777777" w:rsidR="00B457AD" w:rsidRDefault="00DF7AB4">
            <w:pPr>
              <w:pStyle w:val="NoSpacing"/>
              <w:rPr>
                <w:rFonts w:eastAsia="Malgun Gothic"/>
                <w:sz w:val="20"/>
                <w:szCs w:val="20"/>
                <w:lang w:val="sv-SE"/>
              </w:rPr>
            </w:pPr>
            <w:r>
              <w:rPr>
                <w:rFonts w:eastAsia="Malgun Gothic"/>
                <w:sz w:val="20"/>
                <w:szCs w:val="20"/>
                <w:lang w:val="sv-SE"/>
              </w:rPr>
              <w:t xml:space="preserve">FTP </w:t>
            </w:r>
            <w:r>
              <w:rPr>
                <w:rFonts w:eastAsia="Malgun Gothic"/>
                <w:sz w:val="20"/>
                <w:szCs w:val="20"/>
              </w:rPr>
              <w:t>3</w:t>
            </w:r>
            <w:r>
              <w:rPr>
                <w:rFonts w:eastAsia="Malgun Gothic"/>
                <w:sz w:val="20"/>
                <w:szCs w:val="20"/>
                <w:lang w:val="sv-SE"/>
              </w:rPr>
              <w:t xml:space="preserve"> with packet size 0.5M byte</w:t>
            </w:r>
            <w:r>
              <w:rPr>
                <w:rFonts w:eastAsia="Malgun Gothic"/>
                <w:sz w:val="20"/>
                <w:szCs w:val="20"/>
              </w:rPr>
              <w:t>, λ=7</w:t>
            </w:r>
          </w:p>
        </w:tc>
      </w:tr>
      <w:tr w:rsidR="00B457AD" w14:paraId="5DBFB41E" w14:textId="77777777">
        <w:trPr>
          <w:tblCellSpacing w:w="0" w:type="dxa"/>
          <w:jc w:val="center"/>
        </w:trPr>
        <w:tc>
          <w:tcPr>
            <w:tcW w:w="2769" w:type="dxa"/>
            <w:vAlign w:val="center"/>
          </w:tcPr>
          <w:p w14:paraId="41BACDE1" w14:textId="77777777" w:rsidR="00B457AD" w:rsidRDefault="00DF7AB4">
            <w:pPr>
              <w:pStyle w:val="NoSpacing"/>
              <w:rPr>
                <w:rFonts w:eastAsia="Malgun Gothic"/>
                <w:sz w:val="20"/>
                <w:szCs w:val="20"/>
              </w:rPr>
            </w:pPr>
            <w:r>
              <w:rPr>
                <w:rFonts w:eastAsia="Malgun Gothic"/>
                <w:sz w:val="20"/>
                <w:szCs w:val="20"/>
              </w:rPr>
              <w:t>CSI-RS</w:t>
            </w:r>
          </w:p>
        </w:tc>
        <w:tc>
          <w:tcPr>
            <w:tcW w:w="4836" w:type="dxa"/>
            <w:vAlign w:val="center"/>
          </w:tcPr>
          <w:p w14:paraId="3679124C" w14:textId="77777777" w:rsidR="00B457AD" w:rsidRDefault="00DF7AB4">
            <w:pPr>
              <w:pStyle w:val="NoSpacing"/>
              <w:rPr>
                <w:rFonts w:eastAsia="Malgun Gothic"/>
                <w:sz w:val="20"/>
                <w:szCs w:val="20"/>
              </w:rPr>
            </w:pPr>
            <w:r>
              <w:rPr>
                <w:rFonts w:eastAsia="Malgun Gothic"/>
                <w:sz w:val="20"/>
                <w:szCs w:val="20"/>
              </w:rPr>
              <w:t xml:space="preserve">Period is 5 ms and overhead is accounted.  </w:t>
            </w:r>
          </w:p>
        </w:tc>
      </w:tr>
      <w:tr w:rsidR="00B457AD" w14:paraId="2CCACAFA" w14:textId="77777777">
        <w:trPr>
          <w:tblCellSpacing w:w="0" w:type="dxa"/>
          <w:jc w:val="center"/>
        </w:trPr>
        <w:tc>
          <w:tcPr>
            <w:tcW w:w="2769" w:type="dxa"/>
            <w:vAlign w:val="center"/>
          </w:tcPr>
          <w:p w14:paraId="1E6DB9D1" w14:textId="77777777" w:rsidR="00B457AD" w:rsidRDefault="00DF7AB4">
            <w:pPr>
              <w:pStyle w:val="NoSpacing"/>
              <w:rPr>
                <w:rFonts w:eastAsia="Malgun Gothic"/>
                <w:sz w:val="20"/>
                <w:szCs w:val="20"/>
              </w:rPr>
            </w:pPr>
            <w:r>
              <w:rPr>
                <w:rFonts w:eastAsia="Malgun Gothic"/>
                <w:sz w:val="20"/>
                <w:szCs w:val="20"/>
              </w:rPr>
              <w:t>Feedback scheme</w:t>
            </w:r>
          </w:p>
        </w:tc>
        <w:tc>
          <w:tcPr>
            <w:tcW w:w="4836" w:type="dxa"/>
            <w:vAlign w:val="center"/>
          </w:tcPr>
          <w:p w14:paraId="727E555F" w14:textId="77777777" w:rsidR="00B457AD" w:rsidRDefault="00DF7AB4">
            <w:pPr>
              <w:pStyle w:val="NoSpacing"/>
              <w:rPr>
                <w:rFonts w:eastAsia="Malgun Gothic"/>
                <w:sz w:val="20"/>
                <w:szCs w:val="20"/>
              </w:rPr>
            </w:pPr>
            <w:r>
              <w:rPr>
                <w:rFonts w:eastAsia="Malgun Gothic"/>
                <w:sz w:val="20"/>
                <w:szCs w:val="20"/>
              </w:rPr>
              <w:t xml:space="preserve">Type I </w:t>
            </w:r>
            <w:r>
              <w:rPr>
                <w:rFonts w:eastAsia="微软雅黑"/>
                <w:sz w:val="20"/>
                <w:szCs w:val="20"/>
                <w:lang w:val="en-GB"/>
              </w:rPr>
              <w:t>CSI feedback</w:t>
            </w:r>
            <w:r>
              <w:rPr>
                <w:rFonts w:eastAsia="Malgun Gothic"/>
                <w:sz w:val="20"/>
                <w:szCs w:val="20"/>
              </w:rPr>
              <w:t>;</w:t>
            </w:r>
          </w:p>
          <w:p w14:paraId="739E2488" w14:textId="77777777" w:rsidR="00B457AD" w:rsidRDefault="00DF7AB4">
            <w:pPr>
              <w:pStyle w:val="NoSpacing"/>
              <w:rPr>
                <w:rFonts w:eastAsia="Malgun Gothic"/>
                <w:sz w:val="20"/>
                <w:szCs w:val="20"/>
              </w:rPr>
            </w:pPr>
            <w:r>
              <w:rPr>
                <w:rFonts w:eastAsia="Malgun Gothic"/>
                <w:sz w:val="20"/>
                <w:szCs w:val="20"/>
              </w:rPr>
              <w:t xml:space="preserve">Type II </w:t>
            </w:r>
            <w:r>
              <w:rPr>
                <w:sz w:val="20"/>
                <w:szCs w:val="20"/>
              </w:rPr>
              <w:t xml:space="preserve"> </w:t>
            </w:r>
            <w:r>
              <w:rPr>
                <w:rFonts w:eastAsia="微软雅黑"/>
                <w:sz w:val="20"/>
                <w:szCs w:val="20"/>
                <w:lang w:val="en-GB"/>
              </w:rPr>
              <w:t>CSI feedback</w:t>
            </w:r>
            <w:r>
              <w:rPr>
                <w:sz w:val="20"/>
                <w:szCs w:val="20"/>
              </w:rPr>
              <w:t>;</w:t>
            </w:r>
          </w:p>
          <w:p w14:paraId="14EC5B89" w14:textId="77777777" w:rsidR="00B457AD" w:rsidRDefault="00DF7AB4">
            <w:pPr>
              <w:pStyle w:val="NoSpacing"/>
              <w:rPr>
                <w:rFonts w:eastAsia="Malgun Gothic"/>
                <w:sz w:val="20"/>
                <w:szCs w:val="20"/>
              </w:rPr>
            </w:pPr>
            <w:r>
              <w:rPr>
                <w:rFonts w:eastAsia="Malgun Gothic"/>
                <w:sz w:val="20"/>
                <w:szCs w:val="20"/>
              </w:rPr>
              <w:t xml:space="preserve">Type II-Comb </w:t>
            </w:r>
            <w:r>
              <w:rPr>
                <w:sz w:val="20"/>
                <w:szCs w:val="20"/>
              </w:rPr>
              <w:t xml:space="preserve"> </w:t>
            </w:r>
            <w:r>
              <w:rPr>
                <w:rFonts w:eastAsia="微软雅黑"/>
                <w:sz w:val="20"/>
                <w:szCs w:val="20"/>
                <w:lang w:val="en-GB"/>
              </w:rPr>
              <w:t>CSI feedback</w:t>
            </w:r>
            <w:r>
              <w:rPr>
                <w:sz w:val="20"/>
                <w:szCs w:val="20"/>
              </w:rPr>
              <w:t>;</w:t>
            </w:r>
          </w:p>
          <w:p w14:paraId="4A80606C" w14:textId="77777777" w:rsidR="00B457AD" w:rsidRDefault="00DF7AB4">
            <w:pPr>
              <w:pStyle w:val="NoSpacing"/>
              <w:rPr>
                <w:rFonts w:eastAsia="Malgun Gothic"/>
                <w:sz w:val="20"/>
                <w:szCs w:val="20"/>
              </w:rPr>
            </w:pPr>
            <w:r>
              <w:rPr>
                <w:rFonts w:eastAsia="Malgun Gothic"/>
                <w:sz w:val="20"/>
                <w:szCs w:val="20"/>
              </w:rPr>
              <w:t xml:space="preserve">Type II-Diff </w:t>
            </w:r>
            <w:r>
              <w:rPr>
                <w:sz w:val="20"/>
                <w:szCs w:val="20"/>
              </w:rPr>
              <w:t xml:space="preserve"> </w:t>
            </w:r>
            <w:r>
              <w:rPr>
                <w:rFonts w:eastAsia="微软雅黑"/>
                <w:sz w:val="20"/>
                <w:szCs w:val="20"/>
                <w:lang w:val="en-GB"/>
              </w:rPr>
              <w:t>CSI feedback</w:t>
            </w:r>
            <w:r>
              <w:rPr>
                <w:sz w:val="20"/>
                <w:szCs w:val="20"/>
              </w:rPr>
              <w:t>;</w:t>
            </w:r>
          </w:p>
          <w:p w14:paraId="39FFFE47" w14:textId="77777777" w:rsidR="00B457AD" w:rsidRDefault="00DF7AB4">
            <w:pPr>
              <w:pStyle w:val="NoSpacing"/>
              <w:rPr>
                <w:rFonts w:eastAsia="Malgun Gothic"/>
                <w:sz w:val="20"/>
                <w:szCs w:val="20"/>
              </w:rPr>
            </w:pPr>
            <w:r>
              <w:rPr>
                <w:rFonts w:eastAsia="Malgun Gothic"/>
                <w:sz w:val="20"/>
                <w:szCs w:val="20"/>
              </w:rPr>
              <w:t xml:space="preserve">Type II-SVD </w:t>
            </w:r>
            <w:r>
              <w:rPr>
                <w:sz w:val="20"/>
                <w:szCs w:val="20"/>
              </w:rPr>
              <w:t xml:space="preserve"> </w:t>
            </w:r>
            <w:r>
              <w:rPr>
                <w:rFonts w:eastAsia="微软雅黑"/>
                <w:sz w:val="20"/>
                <w:szCs w:val="20"/>
                <w:lang w:val="en-GB"/>
              </w:rPr>
              <w:t>CSI feedback</w:t>
            </w:r>
            <w:r>
              <w:rPr>
                <w:sz w:val="20"/>
                <w:szCs w:val="20"/>
              </w:rPr>
              <w:t>;</w:t>
            </w:r>
          </w:p>
        </w:tc>
      </w:tr>
      <w:tr w:rsidR="00B457AD" w14:paraId="38B651B6" w14:textId="77777777">
        <w:trPr>
          <w:tblCellSpacing w:w="0" w:type="dxa"/>
          <w:jc w:val="center"/>
        </w:trPr>
        <w:tc>
          <w:tcPr>
            <w:tcW w:w="2769" w:type="dxa"/>
            <w:vAlign w:val="center"/>
          </w:tcPr>
          <w:p w14:paraId="7AD9A2D9" w14:textId="7F334ECC" w:rsidR="00B457AD" w:rsidRDefault="00DF7AB4">
            <w:pPr>
              <w:pStyle w:val="NoSpacing"/>
              <w:rPr>
                <w:rFonts w:eastAsia="Malgun Gothic"/>
                <w:sz w:val="20"/>
                <w:szCs w:val="20"/>
              </w:rPr>
            </w:pPr>
            <w:r>
              <w:rPr>
                <w:rFonts w:eastAsia="Malgun Gothic"/>
                <w:sz w:val="20"/>
                <w:szCs w:val="20"/>
              </w:rPr>
              <w:t>Delay for scheduling and AMC</w:t>
            </w:r>
          </w:p>
        </w:tc>
        <w:tc>
          <w:tcPr>
            <w:tcW w:w="4836" w:type="dxa"/>
            <w:vAlign w:val="center"/>
          </w:tcPr>
          <w:p w14:paraId="0A494A5C" w14:textId="77777777" w:rsidR="00B457AD" w:rsidRDefault="00DF7AB4">
            <w:pPr>
              <w:pStyle w:val="NoSpacing"/>
              <w:rPr>
                <w:rFonts w:eastAsia="Malgun Gothic"/>
                <w:sz w:val="20"/>
                <w:szCs w:val="20"/>
                <w:lang w:eastAsia="zh-TW"/>
              </w:rPr>
            </w:pPr>
            <w:r>
              <w:rPr>
                <w:rFonts w:eastAsia="Malgun Gothic"/>
                <w:sz w:val="20"/>
                <w:szCs w:val="20"/>
              </w:rPr>
              <w:t>6ms</w:t>
            </w:r>
          </w:p>
        </w:tc>
      </w:tr>
      <w:tr w:rsidR="00165282" w14:paraId="28F47C52" w14:textId="77777777">
        <w:trPr>
          <w:tblCellSpacing w:w="0" w:type="dxa"/>
          <w:jc w:val="center"/>
        </w:trPr>
        <w:tc>
          <w:tcPr>
            <w:tcW w:w="2769" w:type="dxa"/>
            <w:vAlign w:val="center"/>
          </w:tcPr>
          <w:p w14:paraId="09CD9FA5" w14:textId="46520FDC" w:rsidR="00165282" w:rsidRPr="00165282" w:rsidRDefault="00165282">
            <w:pPr>
              <w:pStyle w:val="NoSpacing"/>
              <w:rPr>
                <w:rFonts w:eastAsiaTheme="minorEastAsia"/>
                <w:sz w:val="20"/>
                <w:szCs w:val="20"/>
              </w:rPr>
            </w:pPr>
            <w:r>
              <w:rPr>
                <w:rFonts w:eastAsiaTheme="minorEastAsia" w:hint="eastAsia"/>
                <w:sz w:val="20"/>
                <w:szCs w:val="20"/>
              </w:rPr>
              <w:t>Scheduler</w:t>
            </w:r>
          </w:p>
        </w:tc>
        <w:tc>
          <w:tcPr>
            <w:tcW w:w="4836" w:type="dxa"/>
            <w:vAlign w:val="center"/>
          </w:tcPr>
          <w:p w14:paraId="307238A9" w14:textId="55373BFE" w:rsidR="00165282" w:rsidRPr="00165282" w:rsidRDefault="00165282">
            <w:pPr>
              <w:pStyle w:val="NoSpacing"/>
              <w:rPr>
                <w:rFonts w:eastAsiaTheme="minorEastAsia"/>
                <w:sz w:val="20"/>
                <w:szCs w:val="20"/>
              </w:rPr>
            </w:pPr>
            <w:r>
              <w:rPr>
                <w:rFonts w:eastAsiaTheme="minorEastAsia" w:hint="eastAsia"/>
                <w:sz w:val="20"/>
                <w:szCs w:val="20"/>
              </w:rPr>
              <w:t>PF</w:t>
            </w:r>
          </w:p>
        </w:tc>
      </w:tr>
      <w:tr w:rsidR="00B457AD" w14:paraId="26FBA268" w14:textId="77777777">
        <w:trPr>
          <w:tblCellSpacing w:w="0" w:type="dxa"/>
          <w:jc w:val="center"/>
        </w:trPr>
        <w:tc>
          <w:tcPr>
            <w:tcW w:w="2769" w:type="dxa"/>
            <w:vAlign w:val="center"/>
          </w:tcPr>
          <w:p w14:paraId="456985FD" w14:textId="77777777" w:rsidR="00B457AD" w:rsidRDefault="00DF7AB4">
            <w:pPr>
              <w:pStyle w:val="NoSpacing"/>
              <w:rPr>
                <w:rFonts w:eastAsia="Malgun Gothic"/>
                <w:sz w:val="20"/>
                <w:szCs w:val="20"/>
              </w:rPr>
            </w:pPr>
            <w:r>
              <w:rPr>
                <w:rFonts w:eastAsia="Malgun Gothic"/>
                <w:sz w:val="20"/>
                <w:szCs w:val="20"/>
              </w:rPr>
              <w:t>Receiver</w:t>
            </w:r>
          </w:p>
        </w:tc>
        <w:tc>
          <w:tcPr>
            <w:tcW w:w="4836" w:type="dxa"/>
            <w:vAlign w:val="center"/>
          </w:tcPr>
          <w:p w14:paraId="7C4610B3" w14:textId="77777777" w:rsidR="00B457AD" w:rsidRDefault="00DF7AB4">
            <w:pPr>
              <w:pStyle w:val="NoSpacing"/>
              <w:rPr>
                <w:rFonts w:eastAsia="Malgun Gothic"/>
                <w:sz w:val="20"/>
                <w:szCs w:val="20"/>
              </w:rPr>
            </w:pPr>
            <w:r>
              <w:rPr>
                <w:rFonts w:eastAsia="Malgun Gothic"/>
                <w:sz w:val="20"/>
                <w:szCs w:val="20"/>
              </w:rPr>
              <w:t>MMSE-IRC</w:t>
            </w:r>
          </w:p>
        </w:tc>
      </w:tr>
      <w:tr w:rsidR="00B457AD" w14:paraId="59F71185" w14:textId="77777777">
        <w:trPr>
          <w:tblCellSpacing w:w="0" w:type="dxa"/>
          <w:jc w:val="center"/>
        </w:trPr>
        <w:tc>
          <w:tcPr>
            <w:tcW w:w="2769" w:type="dxa"/>
            <w:vAlign w:val="center"/>
          </w:tcPr>
          <w:p w14:paraId="1E924188" w14:textId="77777777" w:rsidR="00B457AD" w:rsidRDefault="00DF7AB4">
            <w:pPr>
              <w:pStyle w:val="NoSpacing"/>
              <w:rPr>
                <w:rFonts w:eastAsia="Malgun Gothic"/>
                <w:sz w:val="20"/>
                <w:szCs w:val="20"/>
              </w:rPr>
            </w:pPr>
            <w:r>
              <w:rPr>
                <w:rFonts w:eastAsia="Malgun Gothic"/>
                <w:sz w:val="20"/>
                <w:szCs w:val="20"/>
              </w:rPr>
              <w:t>HARQ Scheme</w:t>
            </w:r>
          </w:p>
        </w:tc>
        <w:tc>
          <w:tcPr>
            <w:tcW w:w="4836" w:type="dxa"/>
            <w:vAlign w:val="center"/>
          </w:tcPr>
          <w:p w14:paraId="6BE8B866" w14:textId="77777777" w:rsidR="00B457AD" w:rsidRDefault="00DF7AB4">
            <w:pPr>
              <w:pStyle w:val="NoSpacing"/>
              <w:rPr>
                <w:rFonts w:eastAsia="Malgun Gothic"/>
                <w:sz w:val="20"/>
                <w:szCs w:val="20"/>
              </w:rPr>
            </w:pPr>
            <w:r>
              <w:rPr>
                <w:rFonts w:eastAsia="Malgun Gothic"/>
                <w:sz w:val="20"/>
                <w:szCs w:val="20"/>
              </w:rPr>
              <w:t>Chase Combining</w:t>
            </w:r>
          </w:p>
        </w:tc>
      </w:tr>
      <w:tr w:rsidR="00B457AD" w14:paraId="650F1132" w14:textId="77777777">
        <w:trPr>
          <w:tblCellSpacing w:w="0" w:type="dxa"/>
          <w:jc w:val="center"/>
        </w:trPr>
        <w:tc>
          <w:tcPr>
            <w:tcW w:w="2769" w:type="dxa"/>
            <w:vAlign w:val="center"/>
          </w:tcPr>
          <w:p w14:paraId="76680DE1" w14:textId="77777777" w:rsidR="00B457AD" w:rsidRDefault="00DF7AB4">
            <w:pPr>
              <w:pStyle w:val="NoSpacing"/>
              <w:rPr>
                <w:rFonts w:eastAsia="Malgun Gothic"/>
                <w:sz w:val="20"/>
                <w:szCs w:val="20"/>
              </w:rPr>
            </w:pPr>
            <w:r>
              <w:rPr>
                <w:rFonts w:eastAsia="Malgun Gothic"/>
                <w:sz w:val="20"/>
                <w:szCs w:val="20"/>
              </w:rPr>
              <w:t>Feedback Assumption</w:t>
            </w:r>
          </w:p>
        </w:tc>
        <w:tc>
          <w:tcPr>
            <w:tcW w:w="4836" w:type="dxa"/>
            <w:vAlign w:val="center"/>
          </w:tcPr>
          <w:p w14:paraId="10E96687" w14:textId="77777777" w:rsidR="00B457AD" w:rsidRDefault="00DF7AB4">
            <w:pPr>
              <w:pStyle w:val="NoSpacing"/>
              <w:rPr>
                <w:rFonts w:eastAsia="Malgun Gothic"/>
                <w:sz w:val="20"/>
                <w:szCs w:val="20"/>
              </w:rPr>
            </w:pPr>
            <w:r>
              <w:rPr>
                <w:rFonts w:eastAsia="Malgun Gothic"/>
                <w:sz w:val="20"/>
                <w:szCs w:val="20"/>
              </w:rPr>
              <w:t xml:space="preserve">Non-ideal modeling of channel estimation, with error modeling </w:t>
            </w:r>
            <w:r>
              <w:rPr>
                <w:position w:val="-14"/>
                <w:szCs w:val="20"/>
              </w:rPr>
              <w:object w:dxaOrig="1230" w:dyaOrig="310" w14:anchorId="394AC479">
                <v:shape id="_x0000_i1027" type="#_x0000_t75" style="width:61.35pt;height:16pt" o:ole="">
                  <v:imagedata r:id="rId13" o:title=""/>
                </v:shape>
                <o:OLEObject Type="Embed" ProgID="Equation.DSMT4" ShapeID="_x0000_i1027" DrawAspect="Content" ObjectID="_1599737591" r:id="rId14"/>
              </w:object>
            </w:r>
            <w:r>
              <w:rPr>
                <w:rFonts w:eastAsia="Malgun Gothic"/>
                <w:sz w:val="20"/>
                <w:szCs w:val="20"/>
              </w:rPr>
              <w:t>is used.</w:t>
            </w:r>
          </w:p>
        </w:tc>
      </w:tr>
      <w:tr w:rsidR="00B457AD" w14:paraId="70A58A29" w14:textId="77777777">
        <w:trPr>
          <w:tblCellSpacing w:w="0" w:type="dxa"/>
          <w:jc w:val="center"/>
        </w:trPr>
        <w:tc>
          <w:tcPr>
            <w:tcW w:w="2769" w:type="dxa"/>
            <w:vAlign w:val="center"/>
          </w:tcPr>
          <w:p w14:paraId="0E13A84C" w14:textId="77777777" w:rsidR="00B457AD" w:rsidRDefault="00DF7AB4">
            <w:pPr>
              <w:pStyle w:val="NoSpacing"/>
              <w:rPr>
                <w:rFonts w:eastAsia="Malgun Gothic"/>
                <w:sz w:val="20"/>
                <w:szCs w:val="20"/>
              </w:rPr>
            </w:pPr>
            <w:r>
              <w:rPr>
                <w:rFonts w:eastAsia="Malgun Gothic"/>
                <w:sz w:val="20"/>
                <w:szCs w:val="20"/>
              </w:rPr>
              <w:t xml:space="preserve">Handover margin </w:t>
            </w:r>
          </w:p>
        </w:tc>
        <w:tc>
          <w:tcPr>
            <w:tcW w:w="4836" w:type="dxa"/>
            <w:vAlign w:val="center"/>
          </w:tcPr>
          <w:p w14:paraId="232C2C20" w14:textId="77777777" w:rsidR="00B457AD" w:rsidRDefault="00DF7AB4">
            <w:pPr>
              <w:pStyle w:val="NoSpacing"/>
              <w:rPr>
                <w:rFonts w:eastAsia="Malgun Gothic"/>
                <w:sz w:val="20"/>
                <w:szCs w:val="20"/>
              </w:rPr>
            </w:pPr>
            <w:r>
              <w:rPr>
                <w:rFonts w:eastAsia="Malgun Gothic"/>
                <w:sz w:val="20"/>
                <w:szCs w:val="20"/>
              </w:rPr>
              <w:t xml:space="preserve">3dB </w:t>
            </w:r>
          </w:p>
        </w:tc>
      </w:tr>
      <w:tr w:rsidR="00B457AD" w14:paraId="16F0CBBD" w14:textId="77777777">
        <w:trPr>
          <w:tblCellSpacing w:w="0" w:type="dxa"/>
          <w:jc w:val="center"/>
        </w:trPr>
        <w:tc>
          <w:tcPr>
            <w:tcW w:w="2769" w:type="dxa"/>
            <w:vAlign w:val="center"/>
          </w:tcPr>
          <w:p w14:paraId="19B22C20" w14:textId="77777777" w:rsidR="00B457AD" w:rsidRDefault="00DF7AB4">
            <w:pPr>
              <w:pStyle w:val="NoSpacing"/>
              <w:rPr>
                <w:rFonts w:eastAsia="Malgun Gothic"/>
                <w:sz w:val="20"/>
                <w:szCs w:val="20"/>
              </w:rPr>
            </w:pPr>
            <w:r>
              <w:rPr>
                <w:rFonts w:eastAsia="Malgun Gothic"/>
                <w:sz w:val="20"/>
                <w:szCs w:val="20"/>
              </w:rPr>
              <w:t>DL Overhead  calculation</w:t>
            </w:r>
          </w:p>
        </w:tc>
        <w:tc>
          <w:tcPr>
            <w:tcW w:w="4836" w:type="dxa"/>
            <w:vAlign w:val="center"/>
          </w:tcPr>
          <w:p w14:paraId="63538A62" w14:textId="77777777" w:rsidR="00B457AD" w:rsidRDefault="00DF7AB4">
            <w:pPr>
              <w:pStyle w:val="NoSpacing"/>
              <w:rPr>
                <w:rFonts w:eastAsia="Malgun Gothic"/>
                <w:sz w:val="20"/>
                <w:szCs w:val="20"/>
              </w:rPr>
            </w:pPr>
            <w:r>
              <w:rPr>
                <w:rFonts w:eastAsia="Malgun Gothic"/>
                <w:sz w:val="20"/>
                <w:szCs w:val="20"/>
              </w:rPr>
              <w:t xml:space="preserve"> 2 OFDM symbols for PDCCH, 24 RE/PRB for DMRS</w:t>
            </w:r>
          </w:p>
        </w:tc>
      </w:tr>
      <w:tr w:rsidR="00B457AD" w14:paraId="173554FE" w14:textId="77777777">
        <w:trPr>
          <w:tblCellSpacing w:w="0" w:type="dxa"/>
          <w:jc w:val="center"/>
        </w:trPr>
        <w:tc>
          <w:tcPr>
            <w:tcW w:w="2769" w:type="dxa"/>
            <w:vAlign w:val="center"/>
          </w:tcPr>
          <w:p w14:paraId="2EC4C7FC" w14:textId="77777777" w:rsidR="00B457AD" w:rsidRDefault="00DF7AB4">
            <w:pPr>
              <w:pStyle w:val="NoSpacing"/>
              <w:rPr>
                <w:rFonts w:eastAsia="Malgun Gothic"/>
                <w:sz w:val="20"/>
                <w:szCs w:val="20"/>
              </w:rPr>
            </w:pPr>
            <w:r>
              <w:rPr>
                <w:sz w:val="20"/>
                <w:szCs w:val="20"/>
              </w:rPr>
              <w:t>Metric</w:t>
            </w:r>
          </w:p>
        </w:tc>
        <w:tc>
          <w:tcPr>
            <w:tcW w:w="4836" w:type="dxa"/>
            <w:vAlign w:val="center"/>
          </w:tcPr>
          <w:p w14:paraId="4E38DC79" w14:textId="77777777" w:rsidR="00B457AD" w:rsidRDefault="00DF7AB4">
            <w:pPr>
              <w:pStyle w:val="NoSpacing"/>
              <w:rPr>
                <w:rFonts w:eastAsia="微软雅黑"/>
                <w:sz w:val="20"/>
                <w:szCs w:val="20"/>
              </w:rPr>
            </w:pPr>
            <w:r>
              <w:rPr>
                <w:rFonts w:eastAsia="Malgun Gothic"/>
                <w:sz w:val="20"/>
                <w:szCs w:val="20"/>
              </w:rPr>
              <w:t xml:space="preserve"> 5%, 50%,95% tail UE </w:t>
            </w:r>
            <w:r>
              <w:rPr>
                <w:rFonts w:eastAsia="微软雅黑"/>
                <w:sz w:val="20"/>
                <w:szCs w:val="20"/>
              </w:rPr>
              <w:t xml:space="preserve"> throughput;</w:t>
            </w:r>
          </w:p>
          <w:p w14:paraId="766EE432" w14:textId="77777777" w:rsidR="00B457AD" w:rsidRDefault="00DF7AB4">
            <w:pPr>
              <w:pStyle w:val="NoSpacing"/>
              <w:rPr>
                <w:rFonts w:eastAsia="微软雅黑"/>
                <w:sz w:val="20"/>
                <w:szCs w:val="20"/>
              </w:rPr>
            </w:pPr>
            <w:r>
              <w:rPr>
                <w:rFonts w:eastAsia="微软雅黑"/>
                <w:sz w:val="20"/>
                <w:szCs w:val="20"/>
              </w:rPr>
              <w:t xml:space="preserve"> </w:t>
            </w:r>
            <w:r>
              <w:rPr>
                <w:rFonts w:eastAsia="MS Mincho"/>
                <w:sz w:val="18"/>
                <w:szCs w:val="18"/>
                <w:lang w:eastAsia="ja-JP"/>
              </w:rPr>
              <w:t>CDF of the ratio</w:t>
            </w:r>
            <w:r>
              <w:rPr>
                <w:sz w:val="20"/>
                <w:szCs w:val="20"/>
              </w:rPr>
              <w:t xml:space="preserve"> of </w:t>
            </w:r>
            <w:r>
              <w:rPr>
                <w:rFonts w:eastAsia="微软雅黑"/>
                <w:sz w:val="20"/>
                <w:szCs w:val="20"/>
              </w:rPr>
              <w:t>throughput</w:t>
            </w:r>
            <w:r>
              <w:rPr>
                <w:rFonts w:eastAsia="微软雅黑" w:hint="eastAsia"/>
                <w:sz w:val="20"/>
                <w:szCs w:val="20"/>
              </w:rPr>
              <w:t xml:space="preserve"> to PMI overhead</w:t>
            </w:r>
            <w:r>
              <w:rPr>
                <w:rFonts w:eastAsia="微软雅黑"/>
                <w:sz w:val="20"/>
                <w:szCs w:val="20"/>
              </w:rPr>
              <w:t>;</w:t>
            </w:r>
          </w:p>
        </w:tc>
      </w:tr>
    </w:tbl>
    <w:p w14:paraId="740A4D71" w14:textId="77777777" w:rsidR="00B457AD" w:rsidRDefault="00B457AD">
      <w:pPr>
        <w:snapToGrid w:val="0"/>
        <w:spacing w:before="120" w:afterLines="50" w:after="120" w:line="240" w:lineRule="auto"/>
        <w:jc w:val="both"/>
        <w:rPr>
          <w:rFonts w:eastAsia="微软雅黑"/>
          <w:sz w:val="20"/>
          <w:szCs w:val="20"/>
        </w:rPr>
      </w:pPr>
    </w:p>
    <w:p w14:paraId="4A49D898" w14:textId="77777777" w:rsidR="00B457AD" w:rsidRDefault="00B457AD">
      <w:pPr>
        <w:pStyle w:val="NoSpacing1"/>
        <w:snapToGrid w:val="0"/>
        <w:rPr>
          <w:sz w:val="20"/>
          <w:szCs w:val="20"/>
        </w:rPr>
      </w:pPr>
    </w:p>
    <w:sectPr w:rsidR="00B457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0FBD0" w14:textId="77777777" w:rsidR="00F824B5" w:rsidRDefault="00F824B5" w:rsidP="009A3E4E">
      <w:pPr>
        <w:spacing w:after="0" w:line="240" w:lineRule="auto"/>
      </w:pPr>
      <w:r>
        <w:separator/>
      </w:r>
    </w:p>
  </w:endnote>
  <w:endnote w:type="continuationSeparator" w:id="0">
    <w:p w14:paraId="3B3708FD" w14:textId="77777777" w:rsidR="00F824B5" w:rsidRDefault="00F824B5" w:rsidP="009A3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微软雅黑">
    <w:charset w:val="86"/>
    <w:family w:val="auto"/>
    <w:pitch w:val="variable"/>
    <w:sig w:usb0="80000287" w:usb1="28CF3C52" w:usb2="00000016" w:usb3="00000000" w:csb0="0004001F" w:csb1="00000000"/>
  </w:font>
  <w:font w:name="Cambria Math">
    <w:panose1 w:val="02040503050406030204"/>
    <w:charset w:val="00"/>
    <w:family w:val="auto"/>
    <w:pitch w:val="variable"/>
    <w:sig w:usb0="E00002FF" w:usb1="420024FF" w:usb2="00000000" w:usb3="00000000" w:csb0="000001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E1BA2" w14:textId="77777777" w:rsidR="00F824B5" w:rsidRDefault="00F824B5" w:rsidP="009A3E4E">
      <w:pPr>
        <w:spacing w:after="0" w:line="240" w:lineRule="auto"/>
      </w:pPr>
      <w:r>
        <w:separator/>
      </w:r>
    </w:p>
  </w:footnote>
  <w:footnote w:type="continuationSeparator" w:id="0">
    <w:p w14:paraId="41F33A8C" w14:textId="77777777" w:rsidR="00F824B5" w:rsidRDefault="00F824B5" w:rsidP="009A3E4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304"/>
    <w:rsid w:val="00007EEB"/>
    <w:rsid w:val="00010512"/>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A89"/>
    <w:rsid w:val="00080BB6"/>
    <w:rsid w:val="0008126C"/>
    <w:rsid w:val="000816E9"/>
    <w:rsid w:val="000819A5"/>
    <w:rsid w:val="00082030"/>
    <w:rsid w:val="00082E47"/>
    <w:rsid w:val="00082E4E"/>
    <w:rsid w:val="000834E5"/>
    <w:rsid w:val="000838D2"/>
    <w:rsid w:val="000848BD"/>
    <w:rsid w:val="0008497B"/>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53B8"/>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4240"/>
    <w:rsid w:val="000C45FE"/>
    <w:rsid w:val="000C4ECD"/>
    <w:rsid w:val="000C577F"/>
    <w:rsid w:val="000C5E7D"/>
    <w:rsid w:val="000C62FC"/>
    <w:rsid w:val="000C64C0"/>
    <w:rsid w:val="000C6C88"/>
    <w:rsid w:val="000C7443"/>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A2"/>
    <w:rsid w:val="00104768"/>
    <w:rsid w:val="00104C0D"/>
    <w:rsid w:val="00104D0E"/>
    <w:rsid w:val="00105A7D"/>
    <w:rsid w:val="00107BF2"/>
    <w:rsid w:val="00110916"/>
    <w:rsid w:val="0011099C"/>
    <w:rsid w:val="00110C23"/>
    <w:rsid w:val="00110FD1"/>
    <w:rsid w:val="0011172D"/>
    <w:rsid w:val="00111964"/>
    <w:rsid w:val="00112302"/>
    <w:rsid w:val="0011277E"/>
    <w:rsid w:val="00112C2B"/>
    <w:rsid w:val="00112E6C"/>
    <w:rsid w:val="00113731"/>
    <w:rsid w:val="0011377E"/>
    <w:rsid w:val="0011409D"/>
    <w:rsid w:val="00114C04"/>
    <w:rsid w:val="00114D59"/>
    <w:rsid w:val="001154E0"/>
    <w:rsid w:val="001157F5"/>
    <w:rsid w:val="0011584B"/>
    <w:rsid w:val="00116B77"/>
    <w:rsid w:val="00117A4E"/>
    <w:rsid w:val="0012093B"/>
    <w:rsid w:val="00120B32"/>
    <w:rsid w:val="00120BE8"/>
    <w:rsid w:val="00121167"/>
    <w:rsid w:val="001218EA"/>
    <w:rsid w:val="0012263D"/>
    <w:rsid w:val="00122904"/>
    <w:rsid w:val="00122EC0"/>
    <w:rsid w:val="00123244"/>
    <w:rsid w:val="00123496"/>
    <w:rsid w:val="0012379D"/>
    <w:rsid w:val="001253BD"/>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240"/>
    <w:rsid w:val="00145E21"/>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2B4"/>
    <w:rsid w:val="0015646F"/>
    <w:rsid w:val="001564A2"/>
    <w:rsid w:val="001569F6"/>
    <w:rsid w:val="00156EA4"/>
    <w:rsid w:val="00156EC1"/>
    <w:rsid w:val="001577E2"/>
    <w:rsid w:val="0015796A"/>
    <w:rsid w:val="00160518"/>
    <w:rsid w:val="0016078A"/>
    <w:rsid w:val="00160CAD"/>
    <w:rsid w:val="00160F87"/>
    <w:rsid w:val="00162514"/>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248"/>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53A"/>
    <w:rsid w:val="00191956"/>
    <w:rsid w:val="00191B0E"/>
    <w:rsid w:val="001923B8"/>
    <w:rsid w:val="001923FD"/>
    <w:rsid w:val="0019290C"/>
    <w:rsid w:val="00192C67"/>
    <w:rsid w:val="00192CDE"/>
    <w:rsid w:val="001933D2"/>
    <w:rsid w:val="00193FB6"/>
    <w:rsid w:val="00194514"/>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811"/>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B3D"/>
    <w:rsid w:val="001B4C15"/>
    <w:rsid w:val="001B5261"/>
    <w:rsid w:val="001B5313"/>
    <w:rsid w:val="001B5402"/>
    <w:rsid w:val="001B5889"/>
    <w:rsid w:val="001B5ADA"/>
    <w:rsid w:val="001B5DB5"/>
    <w:rsid w:val="001B6F5C"/>
    <w:rsid w:val="001B7391"/>
    <w:rsid w:val="001B73F0"/>
    <w:rsid w:val="001B75C9"/>
    <w:rsid w:val="001B778F"/>
    <w:rsid w:val="001B79B2"/>
    <w:rsid w:val="001C0316"/>
    <w:rsid w:val="001C0776"/>
    <w:rsid w:val="001C127E"/>
    <w:rsid w:val="001C128D"/>
    <w:rsid w:val="001C14CC"/>
    <w:rsid w:val="001C16C8"/>
    <w:rsid w:val="001C172B"/>
    <w:rsid w:val="001C1ED7"/>
    <w:rsid w:val="001C22A8"/>
    <w:rsid w:val="001C308C"/>
    <w:rsid w:val="001C3942"/>
    <w:rsid w:val="001C3A1C"/>
    <w:rsid w:val="001C3E43"/>
    <w:rsid w:val="001C41C5"/>
    <w:rsid w:val="001C4275"/>
    <w:rsid w:val="001C469A"/>
    <w:rsid w:val="001C4742"/>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0EAE"/>
    <w:rsid w:val="001E16D4"/>
    <w:rsid w:val="001E1705"/>
    <w:rsid w:val="001E1760"/>
    <w:rsid w:val="001E1A77"/>
    <w:rsid w:val="001E2890"/>
    <w:rsid w:val="001E2B19"/>
    <w:rsid w:val="001E308B"/>
    <w:rsid w:val="001E35C2"/>
    <w:rsid w:val="001E38F2"/>
    <w:rsid w:val="001E3D04"/>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B92"/>
    <w:rsid w:val="001F5EB4"/>
    <w:rsid w:val="001F61CE"/>
    <w:rsid w:val="001F647E"/>
    <w:rsid w:val="001F651D"/>
    <w:rsid w:val="001F65A2"/>
    <w:rsid w:val="001F6824"/>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7A3"/>
    <w:rsid w:val="0022511B"/>
    <w:rsid w:val="00225AF6"/>
    <w:rsid w:val="00225BD5"/>
    <w:rsid w:val="00226A9A"/>
    <w:rsid w:val="00226C2A"/>
    <w:rsid w:val="00226E3F"/>
    <w:rsid w:val="00226E63"/>
    <w:rsid w:val="002278BF"/>
    <w:rsid w:val="002279DB"/>
    <w:rsid w:val="00227E7E"/>
    <w:rsid w:val="00227EE4"/>
    <w:rsid w:val="00230355"/>
    <w:rsid w:val="002303AF"/>
    <w:rsid w:val="00230811"/>
    <w:rsid w:val="00230B5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7A"/>
    <w:rsid w:val="0025109A"/>
    <w:rsid w:val="0025210B"/>
    <w:rsid w:val="002521B2"/>
    <w:rsid w:val="002524DD"/>
    <w:rsid w:val="002525BC"/>
    <w:rsid w:val="002529ED"/>
    <w:rsid w:val="00252B41"/>
    <w:rsid w:val="00252E84"/>
    <w:rsid w:val="002530DC"/>
    <w:rsid w:val="002531E4"/>
    <w:rsid w:val="00253391"/>
    <w:rsid w:val="002537F5"/>
    <w:rsid w:val="0025380B"/>
    <w:rsid w:val="00254828"/>
    <w:rsid w:val="0025491D"/>
    <w:rsid w:val="00254B13"/>
    <w:rsid w:val="00255C39"/>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1F3"/>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CC1"/>
    <w:rsid w:val="002A7514"/>
    <w:rsid w:val="002A7680"/>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7178"/>
    <w:rsid w:val="002B725C"/>
    <w:rsid w:val="002B7AB0"/>
    <w:rsid w:val="002B7BA9"/>
    <w:rsid w:val="002B7C26"/>
    <w:rsid w:val="002B7D0C"/>
    <w:rsid w:val="002C07CA"/>
    <w:rsid w:val="002C0941"/>
    <w:rsid w:val="002C0990"/>
    <w:rsid w:val="002C102E"/>
    <w:rsid w:val="002C10ED"/>
    <w:rsid w:val="002C1138"/>
    <w:rsid w:val="002C15B4"/>
    <w:rsid w:val="002C1C6B"/>
    <w:rsid w:val="002C1E7D"/>
    <w:rsid w:val="002C2041"/>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6E6"/>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0FB1"/>
    <w:rsid w:val="0030181B"/>
    <w:rsid w:val="003019E1"/>
    <w:rsid w:val="00301A6A"/>
    <w:rsid w:val="00301D6D"/>
    <w:rsid w:val="003024D4"/>
    <w:rsid w:val="00302B54"/>
    <w:rsid w:val="00302BF5"/>
    <w:rsid w:val="00302CCC"/>
    <w:rsid w:val="00302D12"/>
    <w:rsid w:val="00302E8F"/>
    <w:rsid w:val="00303C41"/>
    <w:rsid w:val="00304139"/>
    <w:rsid w:val="003041A3"/>
    <w:rsid w:val="0030430D"/>
    <w:rsid w:val="003045A7"/>
    <w:rsid w:val="003045F4"/>
    <w:rsid w:val="00304EFD"/>
    <w:rsid w:val="003053A2"/>
    <w:rsid w:val="00305493"/>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716E"/>
    <w:rsid w:val="00317B53"/>
    <w:rsid w:val="00320255"/>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310"/>
    <w:rsid w:val="00337895"/>
    <w:rsid w:val="00337969"/>
    <w:rsid w:val="00337E84"/>
    <w:rsid w:val="00337EC1"/>
    <w:rsid w:val="00337FBE"/>
    <w:rsid w:val="00337FEA"/>
    <w:rsid w:val="00340061"/>
    <w:rsid w:val="003404B1"/>
    <w:rsid w:val="003406E5"/>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6B8C"/>
    <w:rsid w:val="003474A9"/>
    <w:rsid w:val="0034753F"/>
    <w:rsid w:val="00347D74"/>
    <w:rsid w:val="00350132"/>
    <w:rsid w:val="00350811"/>
    <w:rsid w:val="003508DC"/>
    <w:rsid w:val="00350A7C"/>
    <w:rsid w:val="00350C2C"/>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5414"/>
    <w:rsid w:val="0036615F"/>
    <w:rsid w:val="00366D19"/>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D65"/>
    <w:rsid w:val="00382284"/>
    <w:rsid w:val="00382D2C"/>
    <w:rsid w:val="003831D5"/>
    <w:rsid w:val="00383C54"/>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3E3"/>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1DCD"/>
    <w:rsid w:val="003B2327"/>
    <w:rsid w:val="003B246A"/>
    <w:rsid w:val="003B25C7"/>
    <w:rsid w:val="003B2A3B"/>
    <w:rsid w:val="003B2A50"/>
    <w:rsid w:val="003B2C7F"/>
    <w:rsid w:val="003B3E39"/>
    <w:rsid w:val="003B46E0"/>
    <w:rsid w:val="003B4856"/>
    <w:rsid w:val="003B4A18"/>
    <w:rsid w:val="003B5366"/>
    <w:rsid w:val="003B5CE7"/>
    <w:rsid w:val="003B5EB8"/>
    <w:rsid w:val="003B6A26"/>
    <w:rsid w:val="003B6DD3"/>
    <w:rsid w:val="003B7869"/>
    <w:rsid w:val="003B79DF"/>
    <w:rsid w:val="003B7FBF"/>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40FB"/>
    <w:rsid w:val="003C4328"/>
    <w:rsid w:val="003C567A"/>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28C"/>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13A"/>
    <w:rsid w:val="003F0590"/>
    <w:rsid w:val="003F06C1"/>
    <w:rsid w:val="003F0ECE"/>
    <w:rsid w:val="003F1167"/>
    <w:rsid w:val="003F12D0"/>
    <w:rsid w:val="003F2118"/>
    <w:rsid w:val="003F223A"/>
    <w:rsid w:val="003F2627"/>
    <w:rsid w:val="003F2ED5"/>
    <w:rsid w:val="003F33C4"/>
    <w:rsid w:val="003F3839"/>
    <w:rsid w:val="003F39DF"/>
    <w:rsid w:val="003F3C84"/>
    <w:rsid w:val="003F47FB"/>
    <w:rsid w:val="003F4D4E"/>
    <w:rsid w:val="003F5CCA"/>
    <w:rsid w:val="003F5DC5"/>
    <w:rsid w:val="003F62B4"/>
    <w:rsid w:val="003F65C7"/>
    <w:rsid w:val="003F6D5F"/>
    <w:rsid w:val="003F77C9"/>
    <w:rsid w:val="003F77F7"/>
    <w:rsid w:val="003F7860"/>
    <w:rsid w:val="003F7883"/>
    <w:rsid w:val="003F7AB8"/>
    <w:rsid w:val="00400B91"/>
    <w:rsid w:val="004014EC"/>
    <w:rsid w:val="004014F7"/>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B8E"/>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D3"/>
    <w:rsid w:val="00461D73"/>
    <w:rsid w:val="00461DE2"/>
    <w:rsid w:val="00461EBD"/>
    <w:rsid w:val="004625D8"/>
    <w:rsid w:val="00462AF9"/>
    <w:rsid w:val="00462C92"/>
    <w:rsid w:val="00462D0F"/>
    <w:rsid w:val="004631AC"/>
    <w:rsid w:val="0046331A"/>
    <w:rsid w:val="00464085"/>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B60"/>
    <w:rsid w:val="00482303"/>
    <w:rsid w:val="004837D0"/>
    <w:rsid w:val="00483D35"/>
    <w:rsid w:val="00484AEE"/>
    <w:rsid w:val="00484C9B"/>
    <w:rsid w:val="00484CC7"/>
    <w:rsid w:val="00484D88"/>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6BF8"/>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CCC"/>
    <w:rsid w:val="00514EB8"/>
    <w:rsid w:val="00514F75"/>
    <w:rsid w:val="00515877"/>
    <w:rsid w:val="0051673C"/>
    <w:rsid w:val="005169BB"/>
    <w:rsid w:val="0051733D"/>
    <w:rsid w:val="0051787B"/>
    <w:rsid w:val="00517F5C"/>
    <w:rsid w:val="0052014E"/>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5A8"/>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4048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8C6"/>
    <w:rsid w:val="00580B40"/>
    <w:rsid w:val="00580FC6"/>
    <w:rsid w:val="0058148F"/>
    <w:rsid w:val="00581DFF"/>
    <w:rsid w:val="00582731"/>
    <w:rsid w:val="00583545"/>
    <w:rsid w:val="005838D4"/>
    <w:rsid w:val="00583DFD"/>
    <w:rsid w:val="00583F89"/>
    <w:rsid w:val="0058403F"/>
    <w:rsid w:val="005845D3"/>
    <w:rsid w:val="00584BF1"/>
    <w:rsid w:val="005858B1"/>
    <w:rsid w:val="0058678B"/>
    <w:rsid w:val="00586ADE"/>
    <w:rsid w:val="0058709F"/>
    <w:rsid w:val="0058756C"/>
    <w:rsid w:val="00587A8E"/>
    <w:rsid w:val="00587DAA"/>
    <w:rsid w:val="00587EAC"/>
    <w:rsid w:val="00590A71"/>
    <w:rsid w:val="00590E15"/>
    <w:rsid w:val="00591491"/>
    <w:rsid w:val="00591579"/>
    <w:rsid w:val="005921F9"/>
    <w:rsid w:val="0059237B"/>
    <w:rsid w:val="005928FD"/>
    <w:rsid w:val="00592F41"/>
    <w:rsid w:val="0059357F"/>
    <w:rsid w:val="005935BC"/>
    <w:rsid w:val="005938AB"/>
    <w:rsid w:val="00593B03"/>
    <w:rsid w:val="00594156"/>
    <w:rsid w:val="00594AE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A7E5A"/>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7459"/>
    <w:rsid w:val="005E106F"/>
    <w:rsid w:val="005E1BC5"/>
    <w:rsid w:val="005E1FF3"/>
    <w:rsid w:val="005E20F0"/>
    <w:rsid w:val="005E315F"/>
    <w:rsid w:val="005E3184"/>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0B3A"/>
    <w:rsid w:val="00601144"/>
    <w:rsid w:val="006012B3"/>
    <w:rsid w:val="0060130E"/>
    <w:rsid w:val="00601689"/>
    <w:rsid w:val="006018DC"/>
    <w:rsid w:val="00601AD7"/>
    <w:rsid w:val="0060284F"/>
    <w:rsid w:val="00602A1E"/>
    <w:rsid w:val="006035FA"/>
    <w:rsid w:val="00603BC4"/>
    <w:rsid w:val="00604C09"/>
    <w:rsid w:val="00604D27"/>
    <w:rsid w:val="006054DE"/>
    <w:rsid w:val="00605E50"/>
    <w:rsid w:val="006063D5"/>
    <w:rsid w:val="00606BEA"/>
    <w:rsid w:val="00607090"/>
    <w:rsid w:val="00607553"/>
    <w:rsid w:val="00607A7B"/>
    <w:rsid w:val="00607B90"/>
    <w:rsid w:val="00607CA6"/>
    <w:rsid w:val="006104F5"/>
    <w:rsid w:val="0061097A"/>
    <w:rsid w:val="00610C31"/>
    <w:rsid w:val="00611317"/>
    <w:rsid w:val="0061143B"/>
    <w:rsid w:val="006119FF"/>
    <w:rsid w:val="00612400"/>
    <w:rsid w:val="0061256A"/>
    <w:rsid w:val="00612797"/>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4254"/>
    <w:rsid w:val="006542E6"/>
    <w:rsid w:val="006544E2"/>
    <w:rsid w:val="00654938"/>
    <w:rsid w:val="00655F48"/>
    <w:rsid w:val="00655FFE"/>
    <w:rsid w:val="00656419"/>
    <w:rsid w:val="006564BD"/>
    <w:rsid w:val="00656916"/>
    <w:rsid w:val="00656D91"/>
    <w:rsid w:val="0065737E"/>
    <w:rsid w:val="00657569"/>
    <w:rsid w:val="00657724"/>
    <w:rsid w:val="0066084B"/>
    <w:rsid w:val="00660AAD"/>
    <w:rsid w:val="0066102B"/>
    <w:rsid w:val="0066177B"/>
    <w:rsid w:val="00661951"/>
    <w:rsid w:val="00661F4D"/>
    <w:rsid w:val="00662146"/>
    <w:rsid w:val="00662ADC"/>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549"/>
    <w:rsid w:val="00670841"/>
    <w:rsid w:val="00670B9D"/>
    <w:rsid w:val="00671572"/>
    <w:rsid w:val="006717BD"/>
    <w:rsid w:val="00671882"/>
    <w:rsid w:val="00671A37"/>
    <w:rsid w:val="0067218B"/>
    <w:rsid w:val="006724D4"/>
    <w:rsid w:val="006726C8"/>
    <w:rsid w:val="00672733"/>
    <w:rsid w:val="00672FA5"/>
    <w:rsid w:val="00673ADF"/>
    <w:rsid w:val="00673C39"/>
    <w:rsid w:val="00674D4D"/>
    <w:rsid w:val="00674F7A"/>
    <w:rsid w:val="00674FA0"/>
    <w:rsid w:val="0067504C"/>
    <w:rsid w:val="0067510C"/>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CE5"/>
    <w:rsid w:val="00683E20"/>
    <w:rsid w:val="006840B1"/>
    <w:rsid w:val="00684741"/>
    <w:rsid w:val="00684765"/>
    <w:rsid w:val="0068499A"/>
    <w:rsid w:val="006851F4"/>
    <w:rsid w:val="0068565D"/>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C44"/>
    <w:rsid w:val="006B4CED"/>
    <w:rsid w:val="006B5538"/>
    <w:rsid w:val="006B564C"/>
    <w:rsid w:val="006B5BBF"/>
    <w:rsid w:val="006B66F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03"/>
    <w:rsid w:val="006C559B"/>
    <w:rsid w:val="006C6B99"/>
    <w:rsid w:val="006C6DE4"/>
    <w:rsid w:val="006C73A9"/>
    <w:rsid w:val="006D001C"/>
    <w:rsid w:val="006D07D9"/>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06C"/>
    <w:rsid w:val="006D7C53"/>
    <w:rsid w:val="006D7CED"/>
    <w:rsid w:val="006E001E"/>
    <w:rsid w:val="006E0041"/>
    <w:rsid w:val="006E0227"/>
    <w:rsid w:val="006E0497"/>
    <w:rsid w:val="006E0790"/>
    <w:rsid w:val="006E0BF7"/>
    <w:rsid w:val="006E1717"/>
    <w:rsid w:val="006E1CB9"/>
    <w:rsid w:val="006E23CD"/>
    <w:rsid w:val="006E2AC1"/>
    <w:rsid w:val="006E34B7"/>
    <w:rsid w:val="006E3DEB"/>
    <w:rsid w:val="006E3E09"/>
    <w:rsid w:val="006E42F9"/>
    <w:rsid w:val="006E430D"/>
    <w:rsid w:val="006E4530"/>
    <w:rsid w:val="006E4CC3"/>
    <w:rsid w:val="006E56DB"/>
    <w:rsid w:val="006E5757"/>
    <w:rsid w:val="006E5CF9"/>
    <w:rsid w:val="006E5DF1"/>
    <w:rsid w:val="006E628B"/>
    <w:rsid w:val="006E72A4"/>
    <w:rsid w:val="006E741B"/>
    <w:rsid w:val="006E79F3"/>
    <w:rsid w:val="006E7C97"/>
    <w:rsid w:val="006E7D95"/>
    <w:rsid w:val="006E7DB1"/>
    <w:rsid w:val="006E7FD2"/>
    <w:rsid w:val="006F0835"/>
    <w:rsid w:val="006F0AEA"/>
    <w:rsid w:val="006F15D0"/>
    <w:rsid w:val="006F175A"/>
    <w:rsid w:val="006F192A"/>
    <w:rsid w:val="006F2538"/>
    <w:rsid w:val="006F2607"/>
    <w:rsid w:val="006F2767"/>
    <w:rsid w:val="006F2886"/>
    <w:rsid w:val="006F3464"/>
    <w:rsid w:val="006F3683"/>
    <w:rsid w:val="006F3B08"/>
    <w:rsid w:val="006F3F63"/>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C37"/>
    <w:rsid w:val="00702434"/>
    <w:rsid w:val="00702BD1"/>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A75"/>
    <w:rsid w:val="0074044B"/>
    <w:rsid w:val="007408D8"/>
    <w:rsid w:val="00740B58"/>
    <w:rsid w:val="00740BC0"/>
    <w:rsid w:val="00740CAA"/>
    <w:rsid w:val="00740DFA"/>
    <w:rsid w:val="007415D8"/>
    <w:rsid w:val="0074185F"/>
    <w:rsid w:val="007423FE"/>
    <w:rsid w:val="0074332F"/>
    <w:rsid w:val="00743594"/>
    <w:rsid w:val="0074378B"/>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2CE"/>
    <w:rsid w:val="007776C7"/>
    <w:rsid w:val="00780391"/>
    <w:rsid w:val="00781B8D"/>
    <w:rsid w:val="00781E7B"/>
    <w:rsid w:val="0078206C"/>
    <w:rsid w:val="00782227"/>
    <w:rsid w:val="00782320"/>
    <w:rsid w:val="00782C2C"/>
    <w:rsid w:val="00782D41"/>
    <w:rsid w:val="007830EA"/>
    <w:rsid w:val="007833A2"/>
    <w:rsid w:val="00783451"/>
    <w:rsid w:val="0078366D"/>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1F0"/>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4779"/>
    <w:rsid w:val="007B528D"/>
    <w:rsid w:val="007B546F"/>
    <w:rsid w:val="007B5810"/>
    <w:rsid w:val="007B68FD"/>
    <w:rsid w:val="007B6BA6"/>
    <w:rsid w:val="007B6F00"/>
    <w:rsid w:val="007B787C"/>
    <w:rsid w:val="007C0937"/>
    <w:rsid w:val="007C1746"/>
    <w:rsid w:val="007C1CB6"/>
    <w:rsid w:val="007C1E26"/>
    <w:rsid w:val="007C1E40"/>
    <w:rsid w:val="007C1F30"/>
    <w:rsid w:val="007C21BC"/>
    <w:rsid w:val="007C2611"/>
    <w:rsid w:val="007C2620"/>
    <w:rsid w:val="007C2660"/>
    <w:rsid w:val="007C27D1"/>
    <w:rsid w:val="007C2AE7"/>
    <w:rsid w:val="007C377C"/>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2084"/>
    <w:rsid w:val="007D3F5B"/>
    <w:rsid w:val="007D4F07"/>
    <w:rsid w:val="007D5E13"/>
    <w:rsid w:val="007D606B"/>
    <w:rsid w:val="007D632A"/>
    <w:rsid w:val="007D644F"/>
    <w:rsid w:val="007D675C"/>
    <w:rsid w:val="007D6B45"/>
    <w:rsid w:val="007D6C31"/>
    <w:rsid w:val="007D7239"/>
    <w:rsid w:val="007D7B7C"/>
    <w:rsid w:val="007D7F3C"/>
    <w:rsid w:val="007E0893"/>
    <w:rsid w:val="007E16E4"/>
    <w:rsid w:val="007E185F"/>
    <w:rsid w:val="007E1BDD"/>
    <w:rsid w:val="007E1C32"/>
    <w:rsid w:val="007E2210"/>
    <w:rsid w:val="007E26D6"/>
    <w:rsid w:val="007E2772"/>
    <w:rsid w:val="007E2F85"/>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31D"/>
    <w:rsid w:val="008278B8"/>
    <w:rsid w:val="00827AD2"/>
    <w:rsid w:val="00827C49"/>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85C"/>
    <w:rsid w:val="0087298D"/>
    <w:rsid w:val="00873D5A"/>
    <w:rsid w:val="00874C1B"/>
    <w:rsid w:val="00874F8B"/>
    <w:rsid w:val="008750F3"/>
    <w:rsid w:val="00875538"/>
    <w:rsid w:val="00875D1B"/>
    <w:rsid w:val="00875F3F"/>
    <w:rsid w:val="0087622F"/>
    <w:rsid w:val="0087624A"/>
    <w:rsid w:val="008762AE"/>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66F"/>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A7E60"/>
    <w:rsid w:val="008B03BF"/>
    <w:rsid w:val="008B05FD"/>
    <w:rsid w:val="008B0736"/>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B2C"/>
    <w:rsid w:val="008B703F"/>
    <w:rsid w:val="008B71A3"/>
    <w:rsid w:val="008B7523"/>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D53"/>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0DA9"/>
    <w:rsid w:val="009013FD"/>
    <w:rsid w:val="0090177C"/>
    <w:rsid w:val="0090217A"/>
    <w:rsid w:val="009028AE"/>
    <w:rsid w:val="00902963"/>
    <w:rsid w:val="0090297A"/>
    <w:rsid w:val="00902D2C"/>
    <w:rsid w:val="00902F09"/>
    <w:rsid w:val="00903068"/>
    <w:rsid w:val="00903251"/>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734"/>
    <w:rsid w:val="00910973"/>
    <w:rsid w:val="00910E21"/>
    <w:rsid w:val="00911191"/>
    <w:rsid w:val="00911240"/>
    <w:rsid w:val="00911D02"/>
    <w:rsid w:val="00912646"/>
    <w:rsid w:val="009129C0"/>
    <w:rsid w:val="00913116"/>
    <w:rsid w:val="009136DD"/>
    <w:rsid w:val="009137AC"/>
    <w:rsid w:val="00913C5F"/>
    <w:rsid w:val="009141E4"/>
    <w:rsid w:val="0091477F"/>
    <w:rsid w:val="00914A3B"/>
    <w:rsid w:val="00915011"/>
    <w:rsid w:val="0091557D"/>
    <w:rsid w:val="009158E9"/>
    <w:rsid w:val="009161D2"/>
    <w:rsid w:val="00916347"/>
    <w:rsid w:val="00917C56"/>
    <w:rsid w:val="009200B6"/>
    <w:rsid w:val="009201E0"/>
    <w:rsid w:val="0092040A"/>
    <w:rsid w:val="00920E12"/>
    <w:rsid w:val="00921128"/>
    <w:rsid w:val="009213AA"/>
    <w:rsid w:val="009217A6"/>
    <w:rsid w:val="00921865"/>
    <w:rsid w:val="00921BD1"/>
    <w:rsid w:val="00922022"/>
    <w:rsid w:val="0092260A"/>
    <w:rsid w:val="00922794"/>
    <w:rsid w:val="00922830"/>
    <w:rsid w:val="00922AED"/>
    <w:rsid w:val="0092326F"/>
    <w:rsid w:val="00923437"/>
    <w:rsid w:val="00923A93"/>
    <w:rsid w:val="0092497C"/>
    <w:rsid w:val="0092503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608E"/>
    <w:rsid w:val="0094665B"/>
    <w:rsid w:val="009466BF"/>
    <w:rsid w:val="00946708"/>
    <w:rsid w:val="009477F0"/>
    <w:rsid w:val="009478C2"/>
    <w:rsid w:val="0095002B"/>
    <w:rsid w:val="00950D1A"/>
    <w:rsid w:val="00951218"/>
    <w:rsid w:val="009512DC"/>
    <w:rsid w:val="00951C74"/>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92F"/>
    <w:rsid w:val="00956CED"/>
    <w:rsid w:val="00957219"/>
    <w:rsid w:val="00957C6F"/>
    <w:rsid w:val="00960087"/>
    <w:rsid w:val="0096084F"/>
    <w:rsid w:val="009608F1"/>
    <w:rsid w:val="00960DF3"/>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112"/>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4FE1"/>
    <w:rsid w:val="009756A1"/>
    <w:rsid w:val="00975BCF"/>
    <w:rsid w:val="00975C81"/>
    <w:rsid w:val="009764B6"/>
    <w:rsid w:val="009766BC"/>
    <w:rsid w:val="00977346"/>
    <w:rsid w:val="0097746F"/>
    <w:rsid w:val="00977680"/>
    <w:rsid w:val="00977F07"/>
    <w:rsid w:val="00977F16"/>
    <w:rsid w:val="00980090"/>
    <w:rsid w:val="00980A21"/>
    <w:rsid w:val="0098163A"/>
    <w:rsid w:val="0098177D"/>
    <w:rsid w:val="009818DE"/>
    <w:rsid w:val="00981922"/>
    <w:rsid w:val="00982524"/>
    <w:rsid w:val="0098261F"/>
    <w:rsid w:val="00982784"/>
    <w:rsid w:val="00983238"/>
    <w:rsid w:val="009835AE"/>
    <w:rsid w:val="00983958"/>
    <w:rsid w:val="00983BFE"/>
    <w:rsid w:val="00983F4A"/>
    <w:rsid w:val="009840D0"/>
    <w:rsid w:val="009843EC"/>
    <w:rsid w:val="00985670"/>
    <w:rsid w:val="0098616D"/>
    <w:rsid w:val="00986546"/>
    <w:rsid w:val="00986FBC"/>
    <w:rsid w:val="00987840"/>
    <w:rsid w:val="00987C57"/>
    <w:rsid w:val="009900DC"/>
    <w:rsid w:val="00990610"/>
    <w:rsid w:val="0099061F"/>
    <w:rsid w:val="00990624"/>
    <w:rsid w:val="00990716"/>
    <w:rsid w:val="00990A8F"/>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0E25"/>
    <w:rsid w:val="009A13BE"/>
    <w:rsid w:val="009A14D9"/>
    <w:rsid w:val="009A1B64"/>
    <w:rsid w:val="009A2699"/>
    <w:rsid w:val="009A2AC0"/>
    <w:rsid w:val="009A3182"/>
    <w:rsid w:val="009A3285"/>
    <w:rsid w:val="009A35A7"/>
    <w:rsid w:val="009A362F"/>
    <w:rsid w:val="009A3BEB"/>
    <w:rsid w:val="009A3C5E"/>
    <w:rsid w:val="009A3C6C"/>
    <w:rsid w:val="009A3E4E"/>
    <w:rsid w:val="009A3FBC"/>
    <w:rsid w:val="009A41F0"/>
    <w:rsid w:val="009A4AF8"/>
    <w:rsid w:val="009A4FF9"/>
    <w:rsid w:val="009A5732"/>
    <w:rsid w:val="009A5DAD"/>
    <w:rsid w:val="009A5F09"/>
    <w:rsid w:val="009A605C"/>
    <w:rsid w:val="009A633E"/>
    <w:rsid w:val="009A63B4"/>
    <w:rsid w:val="009A6462"/>
    <w:rsid w:val="009A6796"/>
    <w:rsid w:val="009A6EC1"/>
    <w:rsid w:val="009A7DA2"/>
    <w:rsid w:val="009A7E75"/>
    <w:rsid w:val="009B00A3"/>
    <w:rsid w:val="009B01D0"/>
    <w:rsid w:val="009B0571"/>
    <w:rsid w:val="009B0952"/>
    <w:rsid w:val="009B0ABC"/>
    <w:rsid w:val="009B1F55"/>
    <w:rsid w:val="009B2058"/>
    <w:rsid w:val="009B21FF"/>
    <w:rsid w:val="009B23D9"/>
    <w:rsid w:val="009B2CB4"/>
    <w:rsid w:val="009B3A2C"/>
    <w:rsid w:val="009B3B4D"/>
    <w:rsid w:val="009B4F0E"/>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F31"/>
    <w:rsid w:val="009C646D"/>
    <w:rsid w:val="009C675D"/>
    <w:rsid w:val="009C7E11"/>
    <w:rsid w:val="009D0A9D"/>
    <w:rsid w:val="009D0E15"/>
    <w:rsid w:val="009D0F82"/>
    <w:rsid w:val="009D193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C52"/>
    <w:rsid w:val="009F6E94"/>
    <w:rsid w:val="009F794D"/>
    <w:rsid w:val="00A004EE"/>
    <w:rsid w:val="00A0095B"/>
    <w:rsid w:val="00A00B55"/>
    <w:rsid w:val="00A015B5"/>
    <w:rsid w:val="00A0189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D3"/>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A69"/>
    <w:rsid w:val="00A32DE3"/>
    <w:rsid w:val="00A32F1B"/>
    <w:rsid w:val="00A33026"/>
    <w:rsid w:val="00A33091"/>
    <w:rsid w:val="00A331F5"/>
    <w:rsid w:val="00A33607"/>
    <w:rsid w:val="00A336A5"/>
    <w:rsid w:val="00A33947"/>
    <w:rsid w:val="00A34384"/>
    <w:rsid w:val="00A3489F"/>
    <w:rsid w:val="00A34C2C"/>
    <w:rsid w:val="00A35B51"/>
    <w:rsid w:val="00A35DF9"/>
    <w:rsid w:val="00A3614E"/>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4FB5"/>
    <w:rsid w:val="00A4579D"/>
    <w:rsid w:val="00A45828"/>
    <w:rsid w:val="00A45A9D"/>
    <w:rsid w:val="00A45C54"/>
    <w:rsid w:val="00A4652A"/>
    <w:rsid w:val="00A46802"/>
    <w:rsid w:val="00A4691B"/>
    <w:rsid w:val="00A46A3D"/>
    <w:rsid w:val="00A46CBB"/>
    <w:rsid w:val="00A47639"/>
    <w:rsid w:val="00A477DD"/>
    <w:rsid w:val="00A47D79"/>
    <w:rsid w:val="00A47FEC"/>
    <w:rsid w:val="00A5116F"/>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1E6"/>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5D"/>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298"/>
    <w:rsid w:val="00AB642E"/>
    <w:rsid w:val="00AB65C3"/>
    <w:rsid w:val="00AB67D8"/>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B72"/>
    <w:rsid w:val="00AC6C33"/>
    <w:rsid w:val="00AC6D41"/>
    <w:rsid w:val="00AC6DD5"/>
    <w:rsid w:val="00AC6E2D"/>
    <w:rsid w:val="00AC7ECE"/>
    <w:rsid w:val="00AD0BF4"/>
    <w:rsid w:val="00AD0F0B"/>
    <w:rsid w:val="00AD1783"/>
    <w:rsid w:val="00AD195C"/>
    <w:rsid w:val="00AD1C47"/>
    <w:rsid w:val="00AD1C8C"/>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0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43B"/>
    <w:rsid w:val="00AF7E22"/>
    <w:rsid w:val="00B000E6"/>
    <w:rsid w:val="00B004C7"/>
    <w:rsid w:val="00B00815"/>
    <w:rsid w:val="00B00D0C"/>
    <w:rsid w:val="00B00F58"/>
    <w:rsid w:val="00B01EDD"/>
    <w:rsid w:val="00B025D1"/>
    <w:rsid w:val="00B02D2A"/>
    <w:rsid w:val="00B0301B"/>
    <w:rsid w:val="00B034E8"/>
    <w:rsid w:val="00B0360A"/>
    <w:rsid w:val="00B037A4"/>
    <w:rsid w:val="00B03903"/>
    <w:rsid w:val="00B03997"/>
    <w:rsid w:val="00B039B4"/>
    <w:rsid w:val="00B041A0"/>
    <w:rsid w:val="00B04380"/>
    <w:rsid w:val="00B0501D"/>
    <w:rsid w:val="00B05433"/>
    <w:rsid w:val="00B05648"/>
    <w:rsid w:val="00B05B38"/>
    <w:rsid w:val="00B05D2C"/>
    <w:rsid w:val="00B064A7"/>
    <w:rsid w:val="00B07109"/>
    <w:rsid w:val="00B07243"/>
    <w:rsid w:val="00B07AC8"/>
    <w:rsid w:val="00B07B03"/>
    <w:rsid w:val="00B07DA1"/>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934"/>
    <w:rsid w:val="00B33C6A"/>
    <w:rsid w:val="00B33F10"/>
    <w:rsid w:val="00B3454D"/>
    <w:rsid w:val="00B348AC"/>
    <w:rsid w:val="00B349EE"/>
    <w:rsid w:val="00B3524C"/>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5112"/>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A8B"/>
    <w:rsid w:val="00B51CBA"/>
    <w:rsid w:val="00B51D56"/>
    <w:rsid w:val="00B523A6"/>
    <w:rsid w:val="00B525BE"/>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10DC"/>
    <w:rsid w:val="00B61F00"/>
    <w:rsid w:val="00B62128"/>
    <w:rsid w:val="00B626B1"/>
    <w:rsid w:val="00B62A97"/>
    <w:rsid w:val="00B62F0C"/>
    <w:rsid w:val="00B637D8"/>
    <w:rsid w:val="00B6381C"/>
    <w:rsid w:val="00B638E2"/>
    <w:rsid w:val="00B640B5"/>
    <w:rsid w:val="00B642D4"/>
    <w:rsid w:val="00B643C3"/>
    <w:rsid w:val="00B6480E"/>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2693"/>
    <w:rsid w:val="00B73719"/>
    <w:rsid w:val="00B741E5"/>
    <w:rsid w:val="00B745A3"/>
    <w:rsid w:val="00B746CC"/>
    <w:rsid w:val="00B74A4A"/>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451"/>
    <w:rsid w:val="00B84758"/>
    <w:rsid w:val="00B8484F"/>
    <w:rsid w:val="00B84B3E"/>
    <w:rsid w:val="00B850D9"/>
    <w:rsid w:val="00B85E34"/>
    <w:rsid w:val="00B8607E"/>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225"/>
    <w:rsid w:val="00B93D19"/>
    <w:rsid w:val="00B94140"/>
    <w:rsid w:val="00B941C0"/>
    <w:rsid w:val="00B94C09"/>
    <w:rsid w:val="00B950D3"/>
    <w:rsid w:val="00B9523A"/>
    <w:rsid w:val="00B95905"/>
    <w:rsid w:val="00B95986"/>
    <w:rsid w:val="00B95C50"/>
    <w:rsid w:val="00B96816"/>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022"/>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2FA5"/>
    <w:rsid w:val="00BC35A2"/>
    <w:rsid w:val="00BC46CF"/>
    <w:rsid w:val="00BC47C6"/>
    <w:rsid w:val="00BC48A8"/>
    <w:rsid w:val="00BC49EF"/>
    <w:rsid w:val="00BC5AF9"/>
    <w:rsid w:val="00BC5E44"/>
    <w:rsid w:val="00BC60EF"/>
    <w:rsid w:val="00BC6667"/>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607"/>
    <w:rsid w:val="00BD5069"/>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70"/>
    <w:rsid w:val="00C0057C"/>
    <w:rsid w:val="00C00927"/>
    <w:rsid w:val="00C00DA3"/>
    <w:rsid w:val="00C00DB9"/>
    <w:rsid w:val="00C00F18"/>
    <w:rsid w:val="00C00FCB"/>
    <w:rsid w:val="00C01167"/>
    <w:rsid w:val="00C01578"/>
    <w:rsid w:val="00C019F8"/>
    <w:rsid w:val="00C02039"/>
    <w:rsid w:val="00C024C9"/>
    <w:rsid w:val="00C02696"/>
    <w:rsid w:val="00C02B62"/>
    <w:rsid w:val="00C03759"/>
    <w:rsid w:val="00C0382C"/>
    <w:rsid w:val="00C04630"/>
    <w:rsid w:val="00C04999"/>
    <w:rsid w:val="00C04F87"/>
    <w:rsid w:val="00C0531F"/>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595"/>
    <w:rsid w:val="00C16743"/>
    <w:rsid w:val="00C16E0B"/>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E81"/>
    <w:rsid w:val="00C31F32"/>
    <w:rsid w:val="00C320B6"/>
    <w:rsid w:val="00C3210E"/>
    <w:rsid w:val="00C32B13"/>
    <w:rsid w:val="00C32D74"/>
    <w:rsid w:val="00C32E98"/>
    <w:rsid w:val="00C33C03"/>
    <w:rsid w:val="00C33CCC"/>
    <w:rsid w:val="00C34562"/>
    <w:rsid w:val="00C352DE"/>
    <w:rsid w:val="00C3560C"/>
    <w:rsid w:val="00C356B8"/>
    <w:rsid w:val="00C35712"/>
    <w:rsid w:val="00C3597C"/>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67"/>
    <w:rsid w:val="00C84EDF"/>
    <w:rsid w:val="00C85B84"/>
    <w:rsid w:val="00C85CAD"/>
    <w:rsid w:val="00C86031"/>
    <w:rsid w:val="00C86069"/>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E00"/>
    <w:rsid w:val="00C95637"/>
    <w:rsid w:val="00C95DFF"/>
    <w:rsid w:val="00C95F6B"/>
    <w:rsid w:val="00C95F80"/>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C6F"/>
    <w:rsid w:val="00CB7010"/>
    <w:rsid w:val="00CB72A3"/>
    <w:rsid w:val="00CB7FB9"/>
    <w:rsid w:val="00CB7FC7"/>
    <w:rsid w:val="00CC009A"/>
    <w:rsid w:val="00CC01D6"/>
    <w:rsid w:val="00CC05E8"/>
    <w:rsid w:val="00CC05FF"/>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CFE"/>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86F"/>
    <w:rsid w:val="00CF5358"/>
    <w:rsid w:val="00CF57F4"/>
    <w:rsid w:val="00CF5A20"/>
    <w:rsid w:val="00CF5A39"/>
    <w:rsid w:val="00CF5C48"/>
    <w:rsid w:val="00CF5E94"/>
    <w:rsid w:val="00CF6498"/>
    <w:rsid w:val="00CF654D"/>
    <w:rsid w:val="00CF6F3E"/>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3AD2"/>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77C"/>
    <w:rsid w:val="00D20E9D"/>
    <w:rsid w:val="00D2100B"/>
    <w:rsid w:val="00D21099"/>
    <w:rsid w:val="00D2112B"/>
    <w:rsid w:val="00D212AF"/>
    <w:rsid w:val="00D21A76"/>
    <w:rsid w:val="00D21D42"/>
    <w:rsid w:val="00D21F68"/>
    <w:rsid w:val="00D22958"/>
    <w:rsid w:val="00D229A8"/>
    <w:rsid w:val="00D22A50"/>
    <w:rsid w:val="00D232FD"/>
    <w:rsid w:val="00D2337B"/>
    <w:rsid w:val="00D23969"/>
    <w:rsid w:val="00D23AA3"/>
    <w:rsid w:val="00D23F3D"/>
    <w:rsid w:val="00D2487E"/>
    <w:rsid w:val="00D24B65"/>
    <w:rsid w:val="00D24D7B"/>
    <w:rsid w:val="00D252ED"/>
    <w:rsid w:val="00D2631C"/>
    <w:rsid w:val="00D26663"/>
    <w:rsid w:val="00D271A5"/>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435"/>
    <w:rsid w:val="00D33821"/>
    <w:rsid w:val="00D3421F"/>
    <w:rsid w:val="00D342EF"/>
    <w:rsid w:val="00D34602"/>
    <w:rsid w:val="00D34D45"/>
    <w:rsid w:val="00D3533A"/>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94A"/>
    <w:rsid w:val="00D442CE"/>
    <w:rsid w:val="00D444F2"/>
    <w:rsid w:val="00D449E4"/>
    <w:rsid w:val="00D451B1"/>
    <w:rsid w:val="00D4525A"/>
    <w:rsid w:val="00D45290"/>
    <w:rsid w:val="00D45736"/>
    <w:rsid w:val="00D45AB1"/>
    <w:rsid w:val="00D45B28"/>
    <w:rsid w:val="00D46F55"/>
    <w:rsid w:val="00D46F86"/>
    <w:rsid w:val="00D47328"/>
    <w:rsid w:val="00D50A54"/>
    <w:rsid w:val="00D5126C"/>
    <w:rsid w:val="00D51A6E"/>
    <w:rsid w:val="00D51E70"/>
    <w:rsid w:val="00D536DC"/>
    <w:rsid w:val="00D54833"/>
    <w:rsid w:val="00D54D08"/>
    <w:rsid w:val="00D5535C"/>
    <w:rsid w:val="00D5541B"/>
    <w:rsid w:val="00D5564A"/>
    <w:rsid w:val="00D55683"/>
    <w:rsid w:val="00D56396"/>
    <w:rsid w:val="00D56B1B"/>
    <w:rsid w:val="00D5740A"/>
    <w:rsid w:val="00D57547"/>
    <w:rsid w:val="00D5757A"/>
    <w:rsid w:val="00D57A15"/>
    <w:rsid w:val="00D57E19"/>
    <w:rsid w:val="00D60A11"/>
    <w:rsid w:val="00D60FF7"/>
    <w:rsid w:val="00D610C8"/>
    <w:rsid w:val="00D61D90"/>
    <w:rsid w:val="00D61DBA"/>
    <w:rsid w:val="00D622B9"/>
    <w:rsid w:val="00D62C8E"/>
    <w:rsid w:val="00D637D4"/>
    <w:rsid w:val="00D63C28"/>
    <w:rsid w:val="00D6485A"/>
    <w:rsid w:val="00D6492E"/>
    <w:rsid w:val="00D64CEA"/>
    <w:rsid w:val="00D64DA8"/>
    <w:rsid w:val="00D652C9"/>
    <w:rsid w:val="00D6555C"/>
    <w:rsid w:val="00D65907"/>
    <w:rsid w:val="00D66395"/>
    <w:rsid w:val="00D66CB7"/>
    <w:rsid w:val="00D6781E"/>
    <w:rsid w:val="00D67A31"/>
    <w:rsid w:val="00D702CB"/>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6C7A"/>
    <w:rsid w:val="00D9728C"/>
    <w:rsid w:val="00D97657"/>
    <w:rsid w:val="00D979FB"/>
    <w:rsid w:val="00D97A93"/>
    <w:rsid w:val="00D97A99"/>
    <w:rsid w:val="00D97C78"/>
    <w:rsid w:val="00D97DB4"/>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B96"/>
    <w:rsid w:val="00DA4F07"/>
    <w:rsid w:val="00DA4F08"/>
    <w:rsid w:val="00DA4F59"/>
    <w:rsid w:val="00DA5036"/>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22E"/>
    <w:rsid w:val="00DB79AA"/>
    <w:rsid w:val="00DC03E8"/>
    <w:rsid w:val="00DC0483"/>
    <w:rsid w:val="00DC074A"/>
    <w:rsid w:val="00DC0837"/>
    <w:rsid w:val="00DC0B71"/>
    <w:rsid w:val="00DC110A"/>
    <w:rsid w:val="00DC233A"/>
    <w:rsid w:val="00DC2636"/>
    <w:rsid w:val="00DC296D"/>
    <w:rsid w:val="00DC299B"/>
    <w:rsid w:val="00DC4594"/>
    <w:rsid w:val="00DC5794"/>
    <w:rsid w:val="00DC58D7"/>
    <w:rsid w:val="00DC592B"/>
    <w:rsid w:val="00DC62C4"/>
    <w:rsid w:val="00DC6457"/>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477"/>
    <w:rsid w:val="00DD4711"/>
    <w:rsid w:val="00DD580F"/>
    <w:rsid w:val="00DD5A73"/>
    <w:rsid w:val="00DD605E"/>
    <w:rsid w:val="00DD6CF5"/>
    <w:rsid w:val="00DD6E8B"/>
    <w:rsid w:val="00DD6F9E"/>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599"/>
    <w:rsid w:val="00DE3A26"/>
    <w:rsid w:val="00DE3C0C"/>
    <w:rsid w:val="00DE3E39"/>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799"/>
    <w:rsid w:val="00E01D02"/>
    <w:rsid w:val="00E02071"/>
    <w:rsid w:val="00E021AB"/>
    <w:rsid w:val="00E02773"/>
    <w:rsid w:val="00E0370C"/>
    <w:rsid w:val="00E0392B"/>
    <w:rsid w:val="00E03F50"/>
    <w:rsid w:val="00E0406D"/>
    <w:rsid w:val="00E0431F"/>
    <w:rsid w:val="00E045F7"/>
    <w:rsid w:val="00E04801"/>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175E8"/>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61E7"/>
    <w:rsid w:val="00E26437"/>
    <w:rsid w:val="00E26CF2"/>
    <w:rsid w:val="00E27237"/>
    <w:rsid w:val="00E2766E"/>
    <w:rsid w:val="00E277A5"/>
    <w:rsid w:val="00E300F2"/>
    <w:rsid w:val="00E30F98"/>
    <w:rsid w:val="00E30FF3"/>
    <w:rsid w:val="00E310DD"/>
    <w:rsid w:val="00E316B8"/>
    <w:rsid w:val="00E31A02"/>
    <w:rsid w:val="00E31DDE"/>
    <w:rsid w:val="00E320C5"/>
    <w:rsid w:val="00E326F4"/>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E63"/>
    <w:rsid w:val="00E35EBF"/>
    <w:rsid w:val="00E3666E"/>
    <w:rsid w:val="00E36C3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4000"/>
    <w:rsid w:val="00E64202"/>
    <w:rsid w:val="00E64511"/>
    <w:rsid w:val="00E64768"/>
    <w:rsid w:val="00E647F0"/>
    <w:rsid w:val="00E64930"/>
    <w:rsid w:val="00E64DAF"/>
    <w:rsid w:val="00E653C1"/>
    <w:rsid w:val="00E66180"/>
    <w:rsid w:val="00E664A1"/>
    <w:rsid w:val="00E66946"/>
    <w:rsid w:val="00E66A22"/>
    <w:rsid w:val="00E66F65"/>
    <w:rsid w:val="00E66FEB"/>
    <w:rsid w:val="00E675CB"/>
    <w:rsid w:val="00E677B5"/>
    <w:rsid w:val="00E7005A"/>
    <w:rsid w:val="00E702A9"/>
    <w:rsid w:val="00E702D1"/>
    <w:rsid w:val="00E71CC6"/>
    <w:rsid w:val="00E721BB"/>
    <w:rsid w:val="00E722F6"/>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B43"/>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A73"/>
    <w:rsid w:val="00E8512F"/>
    <w:rsid w:val="00E853AA"/>
    <w:rsid w:val="00E85ADE"/>
    <w:rsid w:val="00E86350"/>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75F"/>
    <w:rsid w:val="00EA27E8"/>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9C"/>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B22"/>
    <w:rsid w:val="00EC2555"/>
    <w:rsid w:val="00EC2CF8"/>
    <w:rsid w:val="00EC2D1B"/>
    <w:rsid w:val="00EC34D6"/>
    <w:rsid w:val="00EC404E"/>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86D"/>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711"/>
    <w:rsid w:val="00EE380B"/>
    <w:rsid w:val="00EE3BC2"/>
    <w:rsid w:val="00EE4D6E"/>
    <w:rsid w:val="00EE5326"/>
    <w:rsid w:val="00EE5C91"/>
    <w:rsid w:val="00EE6047"/>
    <w:rsid w:val="00EE6159"/>
    <w:rsid w:val="00EE6C01"/>
    <w:rsid w:val="00EE7000"/>
    <w:rsid w:val="00EE7A57"/>
    <w:rsid w:val="00EF026B"/>
    <w:rsid w:val="00EF0400"/>
    <w:rsid w:val="00EF0817"/>
    <w:rsid w:val="00EF0968"/>
    <w:rsid w:val="00EF0F3E"/>
    <w:rsid w:val="00EF11EE"/>
    <w:rsid w:val="00EF14F8"/>
    <w:rsid w:val="00EF1DE9"/>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5EA4"/>
    <w:rsid w:val="00F0633A"/>
    <w:rsid w:val="00F06A6F"/>
    <w:rsid w:val="00F06DB1"/>
    <w:rsid w:val="00F07ADA"/>
    <w:rsid w:val="00F07C3C"/>
    <w:rsid w:val="00F07F5F"/>
    <w:rsid w:val="00F10313"/>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EB"/>
    <w:rsid w:val="00F16CFA"/>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79D"/>
    <w:rsid w:val="00F44F40"/>
    <w:rsid w:val="00F45DB4"/>
    <w:rsid w:val="00F460FD"/>
    <w:rsid w:val="00F461C9"/>
    <w:rsid w:val="00F46A1E"/>
    <w:rsid w:val="00F4707B"/>
    <w:rsid w:val="00F471C7"/>
    <w:rsid w:val="00F47F8D"/>
    <w:rsid w:val="00F503B9"/>
    <w:rsid w:val="00F504E9"/>
    <w:rsid w:val="00F50B27"/>
    <w:rsid w:val="00F5114C"/>
    <w:rsid w:val="00F5158F"/>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A83"/>
    <w:rsid w:val="00F60B66"/>
    <w:rsid w:val="00F60BF5"/>
    <w:rsid w:val="00F61166"/>
    <w:rsid w:val="00F62B05"/>
    <w:rsid w:val="00F62BB6"/>
    <w:rsid w:val="00F62E11"/>
    <w:rsid w:val="00F63205"/>
    <w:rsid w:val="00F65EDB"/>
    <w:rsid w:val="00F660F0"/>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1D7F"/>
    <w:rsid w:val="00F824B5"/>
    <w:rsid w:val="00F82FE4"/>
    <w:rsid w:val="00F830F4"/>
    <w:rsid w:val="00F83523"/>
    <w:rsid w:val="00F83BB6"/>
    <w:rsid w:val="00F84327"/>
    <w:rsid w:val="00F843CC"/>
    <w:rsid w:val="00F8488F"/>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363"/>
    <w:rsid w:val="00F9543D"/>
    <w:rsid w:val="00F9635B"/>
    <w:rsid w:val="00F968A0"/>
    <w:rsid w:val="00F96F33"/>
    <w:rsid w:val="00F971CC"/>
    <w:rsid w:val="00F97EBC"/>
    <w:rsid w:val="00FA0393"/>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DED"/>
    <w:rsid w:val="00FC12B1"/>
    <w:rsid w:val="00FC223A"/>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4D5"/>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B26"/>
    <w:rsid w:val="00FE5E62"/>
    <w:rsid w:val="00FE6523"/>
    <w:rsid w:val="00FE6A1D"/>
    <w:rsid w:val="00FE7234"/>
    <w:rsid w:val="00FE793B"/>
    <w:rsid w:val="00FE7A21"/>
    <w:rsid w:val="00FF078A"/>
    <w:rsid w:val="00FF13A8"/>
    <w:rsid w:val="00FF182C"/>
    <w:rsid w:val="00FF1CA6"/>
    <w:rsid w:val="00FF26E1"/>
    <w:rsid w:val="00FF2804"/>
    <w:rsid w:val="00FF2A4E"/>
    <w:rsid w:val="00FF2F90"/>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3D2E04"/>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4773C4"/>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630E79"/>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F5A34"/>
  <w15:docId w15:val="{6778A6E9-A87D-4866-9820-DD8BEDE35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Table Grid" w:uiPriority="39"/>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styleId="NoSpacing">
    <w:name w:val="No Spacing"/>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0">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ListParagraphChar">
    <w:name w:val="List Paragraph Char"/>
    <w:link w:val="ListParagraph"/>
    <w:uiPriority w:val="34"/>
    <w:qFormat/>
    <w:locked/>
    <w:rPr>
      <w:rFonts w:ascii="Times" w:hAnsi="Times" w:cs="Times"/>
      <w:szCs w:val="24"/>
      <w:lang w:val="en-GB" w:eastAsia="zh-CN"/>
    </w:rPr>
  </w:style>
  <w:style w:type="paragraph" w:styleId="ListParagraph">
    <w:name w:val="List Paragraph"/>
    <w:basedOn w:val="Normal"/>
    <w:link w:val="ListParagraph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PlaceholderText">
    <w:name w:val="Placeholder Text"/>
    <w:basedOn w:val="DefaultParagraphFont"/>
    <w:uiPriority w:val="99"/>
    <w:unhideWhenUsed/>
    <w:qFormat/>
    <w:rPr>
      <w:color w:val="808080"/>
    </w:rPr>
  </w:style>
  <w:style w:type="paragraph" w:customStyle="1" w:styleId="11">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image" Target="media/image4.wmf"/><Relationship Id="rId14" Type="http://schemas.openxmlformats.org/officeDocument/2006/relationships/oleObject" Target="embeddings/oleObject3.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3393</Words>
  <Characters>19343</Characters>
  <Application>Microsoft Macintosh Word</Application>
  <DocSecurity>0</DocSecurity>
  <Lines>161</Lines>
  <Paragraphs>45</Paragraphs>
  <ScaleCrop>false</ScaleCrop>
  <Company>www.zte.com.cn</Company>
  <LinksUpToDate>false</LinksUpToDate>
  <CharactersWithSpaces>22691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cp:revision>
  <dcterms:created xsi:type="dcterms:W3CDTF">2018-09-29T05:22:00Z</dcterms:created>
  <dcterms:modified xsi:type="dcterms:W3CDTF">2018-09-29T05:22:00Z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